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167F6D" w14:textId="359947B1" w:rsidR="006F1CFB" w:rsidRDefault="00CB299E">
      <w:pPr>
        <w:shd w:val="clear" w:color="auto" w:fill="FFFFFF"/>
        <w:spacing w:line="276" w:lineRule="auto"/>
        <w:jc w:val="center"/>
        <w:rPr>
          <w:rFonts w:ascii="Times New Roman" w:eastAsia="Times New Roman" w:hAnsi="Times New Roman" w:cs="Times New Roman"/>
          <w:color w:val="181717"/>
        </w:rPr>
      </w:pPr>
      <w:bookmarkStart w:id="0" w:name="_GoBack"/>
      <w:bookmarkEnd w:id="0"/>
      <w:r>
        <w:rPr>
          <w:rFonts w:ascii="Times New Roman" w:eastAsia="Times New Roman" w:hAnsi="Times New Roman" w:cs="Times New Roman"/>
          <w:b/>
          <w:color w:val="181717"/>
        </w:rPr>
        <w:t>PROYECTO DE ACUERDO No. 461 DE  2025</w:t>
      </w:r>
    </w:p>
    <w:p w14:paraId="4B232029" w14:textId="77777777" w:rsidR="006F1CFB" w:rsidRDefault="006F1CFB">
      <w:pPr>
        <w:shd w:val="clear" w:color="auto" w:fill="FFFFFF"/>
        <w:spacing w:line="276" w:lineRule="auto"/>
        <w:ind w:left="720"/>
        <w:jc w:val="both"/>
        <w:rPr>
          <w:rFonts w:ascii="Times New Roman" w:eastAsia="Times New Roman" w:hAnsi="Times New Roman" w:cs="Times New Roman"/>
          <w:i/>
          <w:color w:val="181717"/>
        </w:rPr>
      </w:pPr>
    </w:p>
    <w:p w14:paraId="1D959B24" w14:textId="77777777" w:rsidR="006F1CFB" w:rsidRDefault="00CB299E">
      <w:pPr>
        <w:shd w:val="clear" w:color="auto" w:fill="FFFFFF"/>
        <w:spacing w:line="276" w:lineRule="auto"/>
        <w:jc w:val="center"/>
        <w:rPr>
          <w:rFonts w:ascii="Times New Roman" w:eastAsia="Times New Roman" w:hAnsi="Times New Roman" w:cs="Times New Roman"/>
          <w:b/>
          <w:color w:val="333333"/>
        </w:rPr>
      </w:pPr>
      <w:r>
        <w:rPr>
          <w:rFonts w:ascii="Times New Roman" w:eastAsia="Times New Roman" w:hAnsi="Times New Roman" w:cs="Times New Roman"/>
          <w:b/>
          <w:color w:val="333333"/>
        </w:rPr>
        <w:t xml:space="preserve"> “POR MEDIO DEL CUAL SE GENERAN LINEAMIENTOS PARA EL USO DE  LA INTELIGENCIA ARTIFICIAL PARA PREVENIR LA EXPLOTACIÓN SEXUAL Y EL ABUSO SEXUAL NNA EN EL DISTRITO CAPITAL Y SE DICTAN OTRAS DISPOSICIONES”.  </w:t>
      </w:r>
    </w:p>
    <w:p w14:paraId="0F6D6A2E" w14:textId="77777777" w:rsidR="006F1CFB" w:rsidRDefault="006F1CFB">
      <w:pPr>
        <w:shd w:val="clear" w:color="auto" w:fill="FFFFFF"/>
        <w:spacing w:line="276" w:lineRule="auto"/>
        <w:jc w:val="center"/>
        <w:rPr>
          <w:rFonts w:ascii="Times New Roman" w:eastAsia="Times New Roman" w:hAnsi="Times New Roman" w:cs="Times New Roman"/>
          <w:b/>
          <w:color w:val="333333"/>
        </w:rPr>
      </w:pPr>
    </w:p>
    <w:p w14:paraId="738F1FBB" w14:textId="77777777" w:rsidR="006F1CFB" w:rsidRDefault="00CB299E">
      <w:pPr>
        <w:shd w:val="clear" w:color="auto" w:fill="FFFFFF"/>
        <w:spacing w:before="240" w:after="240" w:line="276" w:lineRule="auto"/>
        <w:jc w:val="center"/>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highlight w:val="white"/>
        </w:rPr>
        <w:t>EXPOSICIÓN DE MOTIVOS</w:t>
      </w:r>
    </w:p>
    <w:p w14:paraId="54C12B8A" w14:textId="77777777" w:rsidR="006F1CFB" w:rsidRDefault="00CB299E">
      <w:pPr>
        <w:shd w:val="clear" w:color="auto" w:fill="FFFFFF"/>
        <w:spacing w:before="280" w:after="280" w:line="276" w:lineRule="auto"/>
        <w:jc w:val="both"/>
        <w:rPr>
          <w:rFonts w:ascii="Times New Roman" w:eastAsia="Times New Roman" w:hAnsi="Times New Roman" w:cs="Times New Roman"/>
          <w:b/>
          <w:highlight w:val="white"/>
        </w:rPr>
      </w:pPr>
      <w:r>
        <w:rPr>
          <w:rFonts w:ascii="Times New Roman" w:eastAsia="Times New Roman" w:hAnsi="Times New Roman" w:cs="Times New Roman"/>
          <w:b/>
          <w:highlight w:val="white"/>
        </w:rPr>
        <w:t>1. OBJETO</w:t>
      </w:r>
    </w:p>
    <w:p w14:paraId="11B02879" w14:textId="77777777" w:rsidR="006F1CFB" w:rsidRDefault="00CB299E">
      <w:pPr>
        <w:shd w:val="clear" w:color="auto" w:fill="FFFFFF"/>
        <w:spacing w:line="276" w:lineRule="auto"/>
        <w:jc w:val="both"/>
        <w:rPr>
          <w:rFonts w:ascii="Times New Roman" w:eastAsia="Times New Roman" w:hAnsi="Times New Roman" w:cs="Times New Roman"/>
          <w:b/>
        </w:rPr>
      </w:pPr>
      <w:r>
        <w:rPr>
          <w:rFonts w:ascii="Times New Roman" w:eastAsia="Times New Roman" w:hAnsi="Times New Roman" w:cs="Times New Roman"/>
        </w:rPr>
        <w:t xml:space="preserve">El presente Proyecto de Acuerdo tiene como objeto el promover el uso de la Inteligencia Artificial para  </w:t>
      </w:r>
      <w:r>
        <w:rPr>
          <w:rFonts w:ascii="Times New Roman" w:eastAsia="Times New Roman" w:hAnsi="Times New Roman" w:cs="Times New Roman"/>
          <w:highlight w:val="white"/>
        </w:rPr>
        <w:t xml:space="preserve">prevenir la explotación sexual y el abuso sexual en niños, niñas y adolescentes en Bogotá. </w:t>
      </w:r>
    </w:p>
    <w:p w14:paraId="2E0D6D8B" w14:textId="77777777" w:rsidR="006F1CFB" w:rsidRDefault="00CB299E">
      <w:pPr>
        <w:shd w:val="clear" w:color="auto" w:fill="FFFFFF"/>
        <w:spacing w:before="280" w:after="28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rPr>
        <w:t>2</w:t>
      </w:r>
      <w:r>
        <w:rPr>
          <w:rFonts w:ascii="Times New Roman" w:eastAsia="Times New Roman" w:hAnsi="Times New Roman" w:cs="Times New Roman"/>
          <w:b/>
          <w:color w:val="00000A"/>
          <w:highlight w:val="white"/>
        </w:rPr>
        <w:t>. INICIATIVA Y COMPETENCIA</w:t>
      </w:r>
    </w:p>
    <w:p w14:paraId="54304131" w14:textId="77777777" w:rsidR="006F1CFB" w:rsidRDefault="00CB299E">
      <w:pPr>
        <w:shd w:val="clear" w:color="auto" w:fill="FFFFFF"/>
        <w:spacing w:before="240" w:after="240" w:line="276" w:lineRule="auto"/>
        <w:jc w:val="both"/>
        <w:rPr>
          <w:rFonts w:ascii="Times New Roman" w:eastAsia="Times New Roman" w:hAnsi="Times New Roman" w:cs="Times New Roman"/>
          <w:color w:val="333333"/>
        </w:rPr>
      </w:pPr>
      <w:r>
        <w:rPr>
          <w:rFonts w:ascii="Times New Roman" w:eastAsia="Times New Roman" w:hAnsi="Times New Roman" w:cs="Times New Roman"/>
          <w:color w:val="333333"/>
        </w:rPr>
        <w:t>En virtud de lo establecido en el Decreto Ley 1421 de 1993, el Concejo es competente para establecer lineamientos en los asuntos definidos en los siguientes artículos.</w:t>
      </w:r>
    </w:p>
    <w:p w14:paraId="5A41CA84" w14:textId="77777777" w:rsidR="006F1CFB" w:rsidRDefault="00CB299E">
      <w:pPr>
        <w:shd w:val="clear" w:color="auto" w:fill="FFFFFF"/>
        <w:spacing w:before="240" w:after="240" w:line="276" w:lineRule="auto"/>
        <w:ind w:left="700"/>
        <w:jc w:val="both"/>
        <w:rPr>
          <w:rFonts w:ascii="Times New Roman" w:eastAsia="Times New Roman" w:hAnsi="Times New Roman" w:cs="Times New Roman"/>
          <w:i/>
          <w:color w:val="333333"/>
        </w:rPr>
      </w:pPr>
      <w:r>
        <w:rPr>
          <w:rFonts w:ascii="Times New Roman" w:eastAsia="Times New Roman" w:hAnsi="Times New Roman" w:cs="Times New Roman"/>
          <w:i/>
          <w:color w:val="333333"/>
        </w:rPr>
        <w:t>“Artículo. - 8.  Funciones generales. El Concejo es la suprema autoridad del Distrito Capital. En materia administrativa sus atribuciones son de carácter normativo. También le corresponde vigilar y controlar la gestión que cumplan las autoridades distritales.” (…)</w:t>
      </w:r>
    </w:p>
    <w:p w14:paraId="2903225D" w14:textId="77777777" w:rsidR="006F1CFB" w:rsidRDefault="00CB299E">
      <w:pPr>
        <w:shd w:val="clear" w:color="auto" w:fill="FFFFFF"/>
        <w:spacing w:before="280" w:after="280" w:line="276" w:lineRule="auto"/>
        <w:ind w:left="700" w:firstLine="20"/>
        <w:jc w:val="both"/>
        <w:rPr>
          <w:rFonts w:ascii="Times New Roman" w:eastAsia="Times New Roman" w:hAnsi="Times New Roman" w:cs="Times New Roman"/>
          <w:i/>
          <w:color w:val="00000A"/>
        </w:rPr>
      </w:pPr>
      <w:r>
        <w:rPr>
          <w:rFonts w:ascii="Times New Roman" w:eastAsia="Times New Roman" w:hAnsi="Times New Roman" w:cs="Times New Roman"/>
          <w:i/>
          <w:color w:val="333333"/>
        </w:rPr>
        <w:t>“Artículo 12º. Atribuciones. Corresponde al Concejo Distrital, de conformidad con la Constitución y a la ley:</w:t>
      </w:r>
    </w:p>
    <w:p w14:paraId="784A1FA6" w14:textId="77777777" w:rsidR="006F1CFB" w:rsidRDefault="00CB299E">
      <w:pPr>
        <w:shd w:val="clear" w:color="auto" w:fill="FFFFFF"/>
        <w:spacing w:before="240" w:after="240" w:line="276" w:lineRule="auto"/>
        <w:ind w:left="700"/>
        <w:jc w:val="both"/>
        <w:rPr>
          <w:rFonts w:ascii="Times New Roman" w:eastAsia="Times New Roman" w:hAnsi="Times New Roman" w:cs="Times New Roman"/>
          <w:i/>
          <w:color w:val="333333"/>
        </w:rPr>
      </w:pPr>
      <w:r>
        <w:rPr>
          <w:rFonts w:ascii="Times New Roman" w:eastAsia="Times New Roman" w:hAnsi="Times New Roman" w:cs="Times New Roman"/>
          <w:i/>
          <w:color w:val="333333"/>
        </w:rPr>
        <w:t>1.</w:t>
      </w:r>
      <w:r>
        <w:rPr>
          <w:rFonts w:ascii="Times New Roman" w:eastAsia="Times New Roman" w:hAnsi="Times New Roman" w:cs="Times New Roman"/>
          <w:color w:val="333333"/>
          <w:sz w:val="14"/>
          <w:szCs w:val="14"/>
        </w:rPr>
        <w:t xml:space="preserve">               </w:t>
      </w:r>
      <w:r>
        <w:rPr>
          <w:rFonts w:ascii="Times New Roman" w:eastAsia="Times New Roman" w:hAnsi="Times New Roman" w:cs="Times New Roman"/>
          <w:i/>
          <w:color w:val="333333"/>
        </w:rPr>
        <w:t>Dictar las normas necesarias para garantizar el adecuado cumplimiento de las funciones y la eficiente prestación de los servicios a cargo del Distrito.</w:t>
      </w:r>
    </w:p>
    <w:p w14:paraId="4EAD29A7" w14:textId="77777777" w:rsidR="006F1CFB" w:rsidRDefault="00CB299E">
      <w:pPr>
        <w:shd w:val="clear" w:color="auto" w:fill="FFFFFF"/>
        <w:spacing w:before="240" w:after="240" w:line="276" w:lineRule="auto"/>
        <w:ind w:left="700"/>
        <w:jc w:val="both"/>
        <w:rPr>
          <w:rFonts w:ascii="Times New Roman" w:eastAsia="Times New Roman" w:hAnsi="Times New Roman" w:cs="Times New Roman"/>
          <w:i/>
          <w:color w:val="333333"/>
        </w:rPr>
      </w:pPr>
      <w:r>
        <w:rPr>
          <w:rFonts w:ascii="Times New Roman" w:eastAsia="Times New Roman" w:hAnsi="Times New Roman" w:cs="Times New Roman"/>
          <w:i/>
          <w:color w:val="333333"/>
        </w:rPr>
        <w:t>(…)</w:t>
      </w:r>
    </w:p>
    <w:p w14:paraId="6423B95E" w14:textId="77777777" w:rsidR="006F1CFB" w:rsidRDefault="00CB299E">
      <w:pPr>
        <w:shd w:val="clear" w:color="auto" w:fill="FFFFFF"/>
        <w:spacing w:before="240" w:after="240" w:line="276" w:lineRule="auto"/>
        <w:ind w:left="700"/>
        <w:jc w:val="both"/>
        <w:rPr>
          <w:rFonts w:ascii="Times New Roman" w:eastAsia="Times New Roman" w:hAnsi="Times New Roman" w:cs="Times New Roman"/>
          <w:i/>
          <w:color w:val="333333"/>
        </w:rPr>
      </w:pPr>
      <w:r>
        <w:rPr>
          <w:rFonts w:ascii="Times New Roman" w:eastAsia="Times New Roman" w:hAnsi="Times New Roman" w:cs="Times New Roman"/>
          <w:i/>
          <w:color w:val="333333"/>
        </w:rPr>
        <w:t>25. Cumplir las demás funciones que le asignen las disposiciones vigentes.”</w:t>
      </w:r>
    </w:p>
    <w:p w14:paraId="498B32D9" w14:textId="77777777" w:rsidR="006F1CFB" w:rsidRDefault="006F1CFB">
      <w:pPr>
        <w:shd w:val="clear" w:color="auto" w:fill="FFFFFF"/>
        <w:spacing w:before="240" w:after="240" w:line="276" w:lineRule="auto"/>
        <w:ind w:left="700"/>
        <w:jc w:val="both"/>
        <w:rPr>
          <w:rFonts w:ascii="Times New Roman" w:eastAsia="Times New Roman" w:hAnsi="Times New Roman" w:cs="Times New Roman"/>
          <w:i/>
          <w:color w:val="333333"/>
        </w:rPr>
      </w:pPr>
    </w:p>
    <w:p w14:paraId="7C2A97A7" w14:textId="77777777" w:rsidR="006F1CFB" w:rsidRDefault="00CB299E">
      <w:pPr>
        <w:shd w:val="clear" w:color="auto" w:fill="FFFFFF"/>
        <w:spacing w:before="240" w:after="240" w:line="276" w:lineRule="auto"/>
        <w:jc w:val="both"/>
        <w:rPr>
          <w:rFonts w:ascii="Times New Roman" w:eastAsia="Times New Roman" w:hAnsi="Times New Roman" w:cs="Times New Roman"/>
          <w:b/>
          <w:color w:val="333333"/>
        </w:rPr>
      </w:pPr>
      <w:r>
        <w:rPr>
          <w:rFonts w:ascii="Times New Roman" w:eastAsia="Times New Roman" w:hAnsi="Times New Roman" w:cs="Times New Roman"/>
          <w:b/>
          <w:color w:val="333333"/>
        </w:rPr>
        <w:lastRenderedPageBreak/>
        <w:t>3. CONSTITUCIONALIDAD Y LEGALIDAD- MARCO NORMATIVO</w:t>
      </w:r>
    </w:p>
    <w:p w14:paraId="0908E64B"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3.1 CONSTITUCIÓN POLÍTICA 1991</w:t>
      </w:r>
    </w:p>
    <w:p w14:paraId="3577920E"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472AEF83"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“ARTÍCULO 44. Son derechos fundamentales de los niños: la vida, la integridad física, la salud y la seguridad social, la alimentación equilibrada, su nombre y nacionalidad, tener una familia y no ser separados de ella, el cuidado y amor, la educación y la cultura, la recreación y la libre expresión de su opinión. Serán protegidos contra toda forma de abandono, violencia física o moral, secuestro, venta, abuso sexual, explotación laboral o económica y trabajos riesgosos. Gozarán también de los demás derechos consagrados en la Constitución, en las leyes y en los tratados internacionales ratificados por Colombia.</w:t>
      </w:r>
    </w:p>
    <w:p w14:paraId="553358EB"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2DE71187"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La familia, la sociedad y el Estado tienen la obligación de asistir y proteger al niño para garantizar su desarrollo armónico e integral y el ejercicio pleno de sus derechos. Cualquier persona puede exigir de la autoridad competente su cumplimiento y la sanción de los infractores.</w:t>
      </w:r>
    </w:p>
    <w:p w14:paraId="14983FF0"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2FD99023" w14:textId="77777777" w:rsidR="006F1CFB" w:rsidRDefault="00CB299E">
      <w:pPr>
        <w:shd w:val="clear" w:color="auto" w:fill="FFFFFF"/>
        <w:spacing w:line="276" w:lineRule="auto"/>
        <w:ind w:left="720"/>
        <w:jc w:val="both"/>
        <w:rPr>
          <w:rFonts w:ascii="Times New Roman" w:eastAsia="Times New Roman" w:hAnsi="Times New Roman" w:cs="Times New Roman"/>
          <w:b/>
          <w:color w:val="333333"/>
          <w:highlight w:val="white"/>
        </w:rPr>
      </w:pPr>
      <w:r>
        <w:rPr>
          <w:rFonts w:ascii="Times New Roman" w:eastAsia="Times New Roman" w:hAnsi="Times New Roman" w:cs="Times New Roman"/>
          <w:i/>
          <w:color w:val="333333"/>
          <w:highlight w:val="white"/>
        </w:rPr>
        <w:t>Los derechos de los niños prevalecen sobre los derechos de los demás</w:t>
      </w:r>
      <w:r>
        <w:rPr>
          <w:rFonts w:ascii="Times New Roman" w:eastAsia="Times New Roman" w:hAnsi="Times New Roman" w:cs="Times New Roman"/>
          <w:b/>
          <w:color w:val="333333"/>
          <w:sz w:val="21"/>
          <w:szCs w:val="21"/>
          <w:highlight w:val="white"/>
        </w:rPr>
        <w:t>.”</w:t>
      </w:r>
    </w:p>
    <w:p w14:paraId="487B6029" w14:textId="77777777" w:rsidR="006F1CFB" w:rsidRDefault="006F1CFB">
      <w:pPr>
        <w:shd w:val="clear" w:color="auto" w:fill="FFFFFF"/>
        <w:spacing w:line="276" w:lineRule="auto"/>
        <w:jc w:val="both"/>
        <w:rPr>
          <w:rFonts w:ascii="Times New Roman" w:eastAsia="Times New Roman" w:hAnsi="Times New Roman" w:cs="Times New Roman"/>
          <w:i/>
          <w:color w:val="333333"/>
          <w:highlight w:val="white"/>
        </w:rPr>
      </w:pPr>
    </w:p>
    <w:p w14:paraId="4024EFBE"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3.2 LEYES</w:t>
      </w:r>
    </w:p>
    <w:p w14:paraId="640E269C" w14:textId="77777777" w:rsidR="006F1CFB" w:rsidRDefault="006F1CFB">
      <w:pPr>
        <w:shd w:val="clear" w:color="auto" w:fill="FFFFFF"/>
        <w:spacing w:line="276" w:lineRule="auto"/>
        <w:jc w:val="both"/>
        <w:rPr>
          <w:rFonts w:ascii="Times New Roman" w:eastAsia="Times New Roman" w:hAnsi="Times New Roman" w:cs="Times New Roman"/>
          <w:color w:val="333333"/>
          <w:highlight w:val="white"/>
        </w:rPr>
      </w:pPr>
    </w:p>
    <w:p w14:paraId="0DEC1FAB"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3.2.1 PLAN DE DESARROLLO NACIONAL - COLOMBIA POTENCIA MUNDIAL DE LA VIDA -  LEY 2294 DE 2023</w:t>
      </w:r>
    </w:p>
    <w:p w14:paraId="3687934D"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0A2AC2F3"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color w:val="333333"/>
          <w:highlight w:val="white"/>
        </w:rPr>
        <w:t>ARTÍCULO</w:t>
      </w:r>
      <w:r>
        <w:rPr>
          <w:rFonts w:ascii="Times New Roman" w:eastAsia="Times New Roman" w:hAnsi="Times New Roman" w:cs="Times New Roman"/>
          <w:color w:val="333333"/>
          <w:sz w:val="22"/>
          <w:szCs w:val="22"/>
          <w:highlight w:val="white"/>
        </w:rPr>
        <w:t xml:space="preserve"> </w:t>
      </w:r>
      <w:r>
        <w:rPr>
          <w:rFonts w:ascii="Times New Roman" w:eastAsia="Times New Roman" w:hAnsi="Times New Roman" w:cs="Times New Roman"/>
          <w:color w:val="333333"/>
          <w:highlight w:val="white"/>
        </w:rPr>
        <w:t>143. TRANSFORMACIÓN DIGITAL COMO MOTOR DE OPORTUNIDADES E IGUALDAD</w:t>
      </w:r>
      <w:r>
        <w:rPr>
          <w:rFonts w:ascii="Times New Roman" w:eastAsia="Times New Roman" w:hAnsi="Times New Roman" w:cs="Times New Roman"/>
          <w:b/>
          <w:i/>
          <w:color w:val="333333"/>
          <w:highlight w:val="white"/>
        </w:rPr>
        <w:t>.</w:t>
      </w:r>
      <w:r>
        <w:rPr>
          <w:rFonts w:ascii="Times New Roman" w:eastAsia="Times New Roman" w:hAnsi="Times New Roman" w:cs="Times New Roman"/>
          <w:i/>
          <w:color w:val="333333"/>
          <w:highlight w:val="white"/>
        </w:rPr>
        <w:t xml:space="preserve"> El Ministerio de Tecnologías de la Información y las Comunicaciones diseñará e implementará una estrategia integral para democratizar las TIC y desarrollar la sociedad del conocimiento y la tecnología en el país, mediante las siguientes medidas:</w:t>
      </w:r>
    </w:p>
    <w:p w14:paraId="25858CD1"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0F77EBAC"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4.</w:t>
      </w:r>
      <w:r>
        <w:rPr>
          <w:rFonts w:ascii="Times New Roman" w:eastAsia="Times New Roman" w:hAnsi="Times New Roman" w:cs="Times New Roman"/>
          <w:i/>
          <w:color w:val="333333"/>
          <w:sz w:val="22"/>
          <w:szCs w:val="22"/>
          <w:highlight w:val="white"/>
        </w:rPr>
        <w:t xml:space="preserve"> </w:t>
      </w:r>
      <w:r>
        <w:rPr>
          <w:rFonts w:ascii="Times New Roman" w:eastAsia="Times New Roman" w:hAnsi="Times New Roman" w:cs="Times New Roman"/>
          <w:i/>
          <w:color w:val="333333"/>
          <w:highlight w:val="white"/>
        </w:rPr>
        <w:t>Promover estrategias para la identificación, prevención y control de todo tipo de violencias en entornos digitales, en coordinación con el Ministerio de Educación Nacional, con énfasis en mujeres, grupos étnicos y niñas, niños y adolescentes.</w:t>
      </w:r>
    </w:p>
    <w:p w14:paraId="0698CC60" w14:textId="77777777" w:rsidR="006F1CFB" w:rsidRDefault="006F1CFB">
      <w:pPr>
        <w:shd w:val="clear" w:color="auto" w:fill="FFFFFF"/>
        <w:spacing w:line="276" w:lineRule="auto"/>
        <w:jc w:val="both"/>
        <w:rPr>
          <w:rFonts w:ascii="Times New Roman" w:eastAsia="Times New Roman" w:hAnsi="Times New Roman" w:cs="Times New Roman"/>
          <w:i/>
          <w:color w:val="333333"/>
          <w:highlight w:val="white"/>
        </w:rPr>
      </w:pPr>
    </w:p>
    <w:p w14:paraId="2EE53CC4"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lastRenderedPageBreak/>
        <w:t>7.</w:t>
      </w:r>
      <w:r>
        <w:rPr>
          <w:rFonts w:ascii="Times New Roman" w:eastAsia="Times New Roman" w:hAnsi="Times New Roman" w:cs="Times New Roman"/>
          <w:i/>
          <w:color w:val="333333"/>
          <w:sz w:val="22"/>
          <w:szCs w:val="22"/>
          <w:highlight w:val="white"/>
        </w:rPr>
        <w:t xml:space="preserve"> </w:t>
      </w:r>
      <w:r>
        <w:rPr>
          <w:rFonts w:ascii="Times New Roman" w:eastAsia="Times New Roman" w:hAnsi="Times New Roman" w:cs="Times New Roman"/>
          <w:i/>
          <w:color w:val="333333"/>
          <w:highlight w:val="white"/>
        </w:rPr>
        <w:t>Promover un entorno digital seguro para generar confianza en el uso y apropiación de las TIC. (...)</w:t>
      </w:r>
    </w:p>
    <w:p w14:paraId="2B590664" w14:textId="77777777" w:rsidR="006F1CFB" w:rsidRDefault="006F1CFB">
      <w:pPr>
        <w:shd w:val="clear" w:color="auto" w:fill="FFFFFF"/>
        <w:spacing w:line="276" w:lineRule="auto"/>
        <w:jc w:val="both"/>
        <w:rPr>
          <w:rFonts w:ascii="Times New Roman" w:eastAsia="Times New Roman" w:hAnsi="Times New Roman" w:cs="Times New Roman"/>
          <w:i/>
          <w:color w:val="333333"/>
          <w:highlight w:val="white"/>
        </w:rPr>
      </w:pPr>
    </w:p>
    <w:p w14:paraId="11570658"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3.3 DECRETOS NACIONALES</w:t>
      </w:r>
    </w:p>
    <w:p w14:paraId="529B138B"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22499078" w14:textId="77777777" w:rsidR="006F1CFB" w:rsidRDefault="00CB299E">
      <w:pPr>
        <w:shd w:val="clear" w:color="auto" w:fill="FFFFFF"/>
        <w:spacing w:line="276" w:lineRule="auto"/>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DECRETO 1263 DE 2022 - NACIONAL </w:t>
      </w:r>
    </w:p>
    <w:p w14:paraId="7B37FE51" w14:textId="77777777" w:rsidR="006F1CFB" w:rsidRDefault="00CB299E">
      <w:pPr>
        <w:shd w:val="clear" w:color="auto" w:fill="FFFFFF"/>
        <w:spacing w:line="276" w:lineRule="auto"/>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Por el cual se adiciona el Título 22 a la Parte 2 del Libro 2 del Decreto 1078 de 2015, Decreto Único Reglamentario del Sector de Tecnologías de la Información y las Comunicaciones, con el fin de definir lineamientos y estándares aplicables a la Transformación Digital Pública”</w:t>
      </w:r>
      <w:r>
        <w:rPr>
          <w:rFonts w:ascii="Times New Roman" w:eastAsia="Times New Roman" w:hAnsi="Times New Roman" w:cs="Times New Roman"/>
          <w:i/>
          <w:color w:val="333333"/>
          <w:highlight w:val="white"/>
          <w:vertAlign w:val="superscript"/>
        </w:rPr>
        <w:footnoteReference w:id="1"/>
      </w:r>
    </w:p>
    <w:p w14:paraId="2E246881"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45C9F91A"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Artículo 2.2.23.1.3. Definiciones. Para la interpretación del presente título, las expresiones aquí utilizadas deben ser entendidas con el significado que a continuación se indica:</w:t>
      </w:r>
    </w:p>
    <w:p w14:paraId="706624EC"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 </w:t>
      </w:r>
    </w:p>
    <w:p w14:paraId="19A360B5"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3.1. Transformación Digital: Corresponde al proceso de explotación de tecnologías digitales que tiene la capacidad de crear nuevas formas de hacer las cosas en todos los sectores de la administración pública, generando nuevos modelos de desarrollo, procesos y la creación de productos y servicios, que a su vez producen valor, principalmente a través de la digitalización que representa la conversión de datos y procesos análogos hacia formatos que pueden ser entendidos y procesados por máquinas.</w:t>
      </w:r>
    </w:p>
    <w:p w14:paraId="2BC1B3AE"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 </w:t>
      </w:r>
    </w:p>
    <w:p w14:paraId="4116EF54"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3.2. Inteligencia artificial: Corresponde a un campo de la informática dedicado a resolver problemas cognitivos comúnmente asociados con la inteligencia humana o seres inteligentes, entendidos como aquellos que pueden adaptarse a situaciones cambiantes. Su base es el desarrollo de sistemas informáticos, la disponibilidad de datos y los algoritmos.</w:t>
      </w:r>
    </w:p>
    <w:p w14:paraId="27E8508B"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 </w:t>
      </w:r>
    </w:p>
    <w:p w14:paraId="1666B4F9"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Artículo 2.2.23.1.4. Lineamientos y Estándares para la Transformación Digital de la Administración Pública. Los sujetos obligados desarrollarán iniciativas dinamizadoras de proyectos de Transformación Digital para aportar a la generación de valor público mediante el aprovechamiento de las capacidades que brindan el uso y la apropiación de las Tecnologías de la Información y las Comunicaciones y así alcanzar los objetivos estratégicos institucionales. Para tal efecto, los sujetos obligados tendrán en cuenta los siguientes lineamientos y estándares:</w:t>
      </w:r>
    </w:p>
    <w:p w14:paraId="7D396B14"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 </w:t>
      </w:r>
    </w:p>
    <w:p w14:paraId="1ECDC811"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4.1. Uso de la infraestructura de datos. Los sujetos obligados propenderán por el uso y aprovechamiento de la infraestructura de datos, dando cumplimiento al Plan Nacional de Infraestructura de Datos, la línea de acción de decisiones basadas en datos, el habilitador de seguridad y privacidad de la información y en general, todos los elementos que componen la Política de Gobierno Digital y sus lineamientos, guías y estándares, así como 'las normas en materia de tratamiento de, datos personales.</w:t>
      </w:r>
    </w:p>
    <w:p w14:paraId="5780F9EF" w14:textId="77777777" w:rsidR="006F1CFB" w:rsidRDefault="00CB299E">
      <w:pPr>
        <w:shd w:val="clear" w:color="auto" w:fill="FFFFFF"/>
        <w:spacing w:line="276" w:lineRule="auto"/>
        <w:jc w:val="both"/>
        <w:rPr>
          <w:rFonts w:ascii="Times New Roman" w:eastAsia="Times New Roman" w:hAnsi="Times New Roman" w:cs="Times New Roman"/>
          <w:b/>
          <w:i/>
          <w:color w:val="333333"/>
          <w:highlight w:val="white"/>
        </w:rPr>
      </w:pPr>
      <w:r>
        <w:rPr>
          <w:rFonts w:ascii="Times New Roman" w:eastAsia="Times New Roman" w:hAnsi="Times New Roman" w:cs="Times New Roman"/>
          <w:b/>
          <w:i/>
          <w:color w:val="333333"/>
          <w:highlight w:val="white"/>
        </w:rPr>
        <w:t xml:space="preserve"> </w:t>
      </w:r>
    </w:p>
    <w:p w14:paraId="0A0123CA" w14:textId="77777777" w:rsidR="006F1CFB" w:rsidRDefault="00CB299E">
      <w:pPr>
        <w:shd w:val="clear" w:color="auto" w:fill="FFFFFF"/>
        <w:spacing w:line="276" w:lineRule="auto"/>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DECRETO 767 DE 2022 - NACIONAL</w:t>
      </w:r>
    </w:p>
    <w:p w14:paraId="68C6A751" w14:textId="77777777" w:rsidR="006F1CFB" w:rsidRDefault="00CB299E">
      <w:pPr>
        <w:shd w:val="clear" w:color="auto" w:fill="FFFFFF"/>
        <w:spacing w:line="276" w:lineRule="auto"/>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Por el cual se establecen los lineamientos generales de la Política de Gobierno Digital y se subroga el Capítulo 1 del Título 9 de la Parte 2 del Libro 2 del Decreto 1078 de 2015, Decreto Único Reglamentario del Sector de Tecnologías de la Información y las Comunicaciones</w:t>
      </w:r>
    </w:p>
    <w:p w14:paraId="280DAB57" w14:textId="77777777" w:rsidR="006F1CFB" w:rsidRDefault="006F1CFB">
      <w:pPr>
        <w:shd w:val="clear" w:color="auto" w:fill="FFFFFF"/>
        <w:spacing w:line="276" w:lineRule="auto"/>
        <w:jc w:val="both"/>
        <w:rPr>
          <w:rFonts w:ascii="Times New Roman" w:eastAsia="Times New Roman" w:hAnsi="Times New Roman" w:cs="Times New Roman"/>
          <w:i/>
          <w:color w:val="333333"/>
          <w:highlight w:val="white"/>
        </w:rPr>
      </w:pPr>
    </w:p>
    <w:p w14:paraId="2F72E513"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ARTÍCULO 2.2.9.1.1.3. Principios. La Política de Gobierno Digital se desarrollará conforme los principios que rigen la función pública y los procedimientos administrativos consagrados en los artículos 209 de la Constitución Política, 3 de la Ley 489 de 1998, 3 de la Ley 1437 de 2011, 2 y 3 de la Ley 1712 de 2014, así como los que orientan el sector TIC establecidos en el artículo 2 de la Ley 1341 de 2009, y en particular los siguientes:</w:t>
      </w:r>
    </w:p>
    <w:p w14:paraId="65CAD3C8"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312B7D3E"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6C708857"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4.  DOCUMENTOS CONPES DEL NIVEL NACIONAL</w:t>
      </w:r>
    </w:p>
    <w:p w14:paraId="342B631F"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7F867D4A" w14:textId="77777777" w:rsidR="006F1CFB" w:rsidRDefault="00CB299E">
      <w:pPr>
        <w:shd w:val="clear" w:color="auto" w:fill="FFFFFF"/>
        <w:spacing w:line="276" w:lineRule="auto"/>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CONPES 3975 de 2019, "Política Nacional para la Transformación Digital e Inteligencia Artificial”,  </w:t>
      </w:r>
    </w:p>
    <w:p w14:paraId="658188B3" w14:textId="77777777" w:rsidR="006F1CFB" w:rsidRDefault="006F1CFB">
      <w:pPr>
        <w:shd w:val="clear" w:color="auto" w:fill="FFFFFF"/>
        <w:spacing w:line="276" w:lineRule="auto"/>
        <w:jc w:val="both"/>
        <w:rPr>
          <w:rFonts w:ascii="Times New Roman" w:eastAsia="Times New Roman" w:hAnsi="Times New Roman" w:cs="Times New Roman"/>
          <w:i/>
          <w:color w:val="333333"/>
          <w:highlight w:val="white"/>
        </w:rPr>
      </w:pPr>
    </w:p>
    <w:p w14:paraId="35662ECB"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Recomendaciones </w:t>
      </w:r>
    </w:p>
    <w:p w14:paraId="2C1DED93" w14:textId="77777777" w:rsidR="006F1CFB" w:rsidRDefault="006F1CFB">
      <w:pPr>
        <w:shd w:val="clear" w:color="auto" w:fill="FFFFFF"/>
        <w:spacing w:line="276" w:lineRule="auto"/>
        <w:jc w:val="both"/>
        <w:rPr>
          <w:rFonts w:ascii="Times New Roman" w:eastAsia="Times New Roman" w:hAnsi="Times New Roman" w:cs="Times New Roman"/>
          <w:b/>
          <w:i/>
          <w:color w:val="333333"/>
          <w:highlight w:val="white"/>
        </w:rPr>
      </w:pPr>
    </w:p>
    <w:p w14:paraId="132FF35A" w14:textId="77777777" w:rsidR="006F1CFB" w:rsidRDefault="00CB299E">
      <w:pPr>
        <w:shd w:val="clear" w:color="auto" w:fill="FFFFFF"/>
        <w:spacing w:line="276" w:lineRule="auto"/>
        <w:ind w:left="720"/>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(...)Diseñar un plan para proveer asistencia técnica, para que las entidades de supervisión y vigilancia creen y definan ambientes de prueba regulatorios (tipo sandbox y regulatory beaches) en inteligencia artificial.</w:t>
      </w:r>
    </w:p>
    <w:p w14:paraId="31977A18" w14:textId="77777777" w:rsidR="006F1CFB" w:rsidRDefault="006F1CFB">
      <w:pPr>
        <w:shd w:val="clear" w:color="auto" w:fill="FFFFFF"/>
        <w:spacing w:line="276" w:lineRule="auto"/>
        <w:ind w:left="720"/>
        <w:jc w:val="both"/>
        <w:rPr>
          <w:rFonts w:ascii="Times New Roman" w:eastAsia="Times New Roman" w:hAnsi="Times New Roman" w:cs="Times New Roman"/>
          <w:color w:val="333333"/>
          <w:highlight w:val="white"/>
        </w:rPr>
      </w:pPr>
    </w:p>
    <w:p w14:paraId="1B33BF9D" w14:textId="77777777" w:rsidR="006F1CFB" w:rsidRDefault="00CB299E">
      <w:pPr>
        <w:shd w:val="clear" w:color="auto" w:fill="FFFFFF"/>
        <w:spacing w:line="276" w:lineRule="auto"/>
        <w:ind w:left="720"/>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Desarrollar los lineamientos para que las entidades públicas del orden nacional elaboren sus planes de transformación digital. (...)</w:t>
      </w:r>
    </w:p>
    <w:p w14:paraId="2B4ABC28" w14:textId="77777777" w:rsidR="006F1CFB" w:rsidRDefault="006F1CFB">
      <w:pPr>
        <w:shd w:val="clear" w:color="auto" w:fill="FFFFFF"/>
        <w:spacing w:line="276" w:lineRule="auto"/>
        <w:jc w:val="both"/>
        <w:rPr>
          <w:rFonts w:ascii="Times New Roman" w:eastAsia="Times New Roman" w:hAnsi="Times New Roman" w:cs="Times New Roman"/>
          <w:color w:val="333333"/>
          <w:highlight w:val="white"/>
        </w:rPr>
      </w:pPr>
    </w:p>
    <w:p w14:paraId="6D21275D" w14:textId="77777777" w:rsidR="006F1CFB" w:rsidRDefault="00CB299E">
      <w:p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b/>
          <w:color w:val="333333"/>
          <w:highlight w:val="white"/>
        </w:rPr>
        <w:t>MINTIC:</w:t>
      </w:r>
      <w:r>
        <w:rPr>
          <w:rFonts w:ascii="Times New Roman" w:eastAsia="Times New Roman" w:hAnsi="Times New Roman" w:cs="Times New Roman"/>
          <w:color w:val="333333"/>
          <w:highlight w:val="white"/>
        </w:rPr>
        <w:t xml:space="preserve"> Hoja de Ruta para el desarrollo y aplicación de la Inteligencia Artificial en Colombia</w:t>
      </w:r>
      <w:r>
        <w:rPr>
          <w:rFonts w:ascii="Times New Roman" w:eastAsia="Times New Roman" w:hAnsi="Times New Roman" w:cs="Times New Roman"/>
          <w:color w:val="333333"/>
          <w:highlight w:val="white"/>
          <w:vertAlign w:val="superscript"/>
        </w:rPr>
        <w:footnoteReference w:id="2"/>
      </w:r>
    </w:p>
    <w:p w14:paraId="2BF01D03" w14:textId="77777777" w:rsidR="006F1CFB" w:rsidRDefault="006F1CFB">
      <w:pPr>
        <w:shd w:val="clear" w:color="auto" w:fill="FFFFFF"/>
        <w:spacing w:line="276" w:lineRule="auto"/>
        <w:jc w:val="both"/>
        <w:rPr>
          <w:rFonts w:ascii="Times New Roman" w:eastAsia="Times New Roman" w:hAnsi="Times New Roman" w:cs="Times New Roman"/>
          <w:color w:val="333333"/>
          <w:highlight w:val="white"/>
        </w:rPr>
      </w:pPr>
    </w:p>
    <w:p w14:paraId="3595CA17" w14:textId="77777777" w:rsidR="006F1CFB" w:rsidRDefault="00CB299E">
      <w:pPr>
        <w:shd w:val="clear" w:color="auto" w:fill="FFFFFF"/>
        <w:spacing w:line="276" w:lineRule="auto"/>
        <w:ind w:left="72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Mecanismos de Seguimiento: “Evaluación del Desarrollo de Soluciones Sociales: </w:t>
      </w:r>
    </w:p>
    <w:p w14:paraId="4E76B191" w14:textId="77777777" w:rsidR="006F1CFB" w:rsidRDefault="006F1CFB">
      <w:pPr>
        <w:shd w:val="clear" w:color="auto" w:fill="FFFFFF"/>
        <w:spacing w:line="276" w:lineRule="auto"/>
        <w:ind w:left="1440"/>
        <w:rPr>
          <w:rFonts w:ascii="Times New Roman" w:eastAsia="Times New Roman" w:hAnsi="Times New Roman" w:cs="Times New Roman"/>
          <w:i/>
          <w:color w:val="333333"/>
          <w:highlight w:val="white"/>
        </w:rPr>
      </w:pPr>
    </w:p>
    <w:p w14:paraId="3A86E004" w14:textId="77777777" w:rsidR="006F1CFB" w:rsidRDefault="00CB299E">
      <w:pPr>
        <w:numPr>
          <w:ilvl w:val="0"/>
          <w:numId w:val="9"/>
        </w:numPr>
        <w:shd w:val="clear" w:color="auto" w:fill="FFFFFF"/>
        <w:spacing w:line="276" w:lineRule="auto"/>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Evaluar el impacto y la innovación de las soluciones basadas en inteligencia artificial que aborden problemáticas sociales, económicas y ambientales. </w:t>
      </w:r>
    </w:p>
    <w:p w14:paraId="634CD936" w14:textId="77777777" w:rsidR="006F1CFB" w:rsidRDefault="00CB299E">
      <w:pPr>
        <w:numPr>
          <w:ilvl w:val="0"/>
          <w:numId w:val="9"/>
        </w:numPr>
        <w:shd w:val="clear" w:color="auto" w:fill="FFFFFF"/>
        <w:spacing w:line="276" w:lineRule="auto"/>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Medir la contribución al cumplimiento de metas del Plan Nacional de Desarrollo y los Objetivos de Desarrollo Sostenible.”</w:t>
      </w:r>
    </w:p>
    <w:p w14:paraId="1635CBB4" w14:textId="77777777" w:rsidR="006F1CFB" w:rsidRDefault="00CB299E">
      <w:pPr>
        <w:shd w:val="clear" w:color="auto" w:fill="FFFFFF"/>
        <w:spacing w:before="240" w:after="240" w:line="276" w:lineRule="auto"/>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CONPES 4144 de 2025 “Política Nacional de Inteligencia Artificial”</w:t>
      </w:r>
    </w:p>
    <w:p w14:paraId="28D47F20" w14:textId="77777777" w:rsidR="006F1CFB" w:rsidRDefault="00CB299E">
      <w:pPr>
        <w:shd w:val="clear" w:color="auto" w:fill="FFFFFF"/>
        <w:spacing w:before="240" w:after="240" w:line="276" w:lineRule="auto"/>
        <w:jc w:val="both"/>
        <w:rPr>
          <w:rFonts w:ascii="Times New Roman" w:eastAsia="Times New Roman" w:hAnsi="Times New Roman" w:cs="Times New Roman"/>
          <w:i/>
          <w:color w:val="333333"/>
          <w:highlight w:val="white"/>
        </w:rPr>
      </w:pPr>
      <w:r>
        <w:rPr>
          <w:rFonts w:ascii="Times New Roman" w:eastAsia="Times New Roman" w:hAnsi="Times New Roman" w:cs="Times New Roman"/>
          <w:color w:val="333333"/>
          <w:highlight w:val="white"/>
        </w:rPr>
        <w:t>Establece una estrategia nacional para el desarrollo, adopción y regulación de la Inteligencia Artificial (IA) en Colombia. Su objetivo principal es generar capacidades para la investigación, desarrollo, adopción y aprovechamiento ético y sostenible de los sistemas de IA, impulsando la transformación social y económica del país.</w:t>
      </w:r>
    </w:p>
    <w:p w14:paraId="7B1DB415" w14:textId="77777777" w:rsidR="006F1CFB" w:rsidRDefault="006F1CFB">
      <w:pPr>
        <w:shd w:val="clear" w:color="auto" w:fill="FFFFFF"/>
        <w:spacing w:line="276" w:lineRule="auto"/>
        <w:jc w:val="both"/>
        <w:rPr>
          <w:rFonts w:ascii="Times New Roman" w:eastAsia="Times New Roman" w:hAnsi="Times New Roman" w:cs="Times New Roman"/>
          <w:b/>
          <w:i/>
          <w:color w:val="333333"/>
          <w:highlight w:val="white"/>
        </w:rPr>
      </w:pPr>
    </w:p>
    <w:p w14:paraId="3D927214"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5. ACUERDOS  DISTRITALES</w:t>
      </w:r>
    </w:p>
    <w:p w14:paraId="362F4B0C" w14:textId="77777777" w:rsidR="006F1CFB" w:rsidRDefault="006F1CFB">
      <w:pPr>
        <w:shd w:val="clear" w:color="auto" w:fill="FFFFFF"/>
        <w:spacing w:line="276" w:lineRule="auto"/>
        <w:jc w:val="both"/>
        <w:rPr>
          <w:rFonts w:ascii="Times New Roman" w:eastAsia="Times New Roman" w:hAnsi="Times New Roman" w:cs="Times New Roman"/>
          <w:b/>
          <w:i/>
          <w:color w:val="333333"/>
          <w:highlight w:val="white"/>
        </w:rPr>
      </w:pPr>
    </w:p>
    <w:p w14:paraId="4F5EE6C5"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 xml:space="preserve">ACUERDO 003 DE 2021 </w:t>
      </w:r>
    </w:p>
    <w:p w14:paraId="06C8047D" w14:textId="77777777" w:rsidR="006F1CFB" w:rsidRDefault="00CB299E">
      <w:pPr>
        <w:shd w:val="clear" w:color="auto" w:fill="FFFFFF"/>
        <w:spacing w:line="276" w:lineRule="auto"/>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“Por la cual se crea el Grupo de Sinergia y Aceleración de Proyectos e Iniciativas de Transformación Digital y se dictan otras disposiciones</w:t>
      </w:r>
    </w:p>
    <w:p w14:paraId="4260D89F" w14:textId="77777777" w:rsidR="006F1CFB" w:rsidRDefault="006F1CFB">
      <w:pPr>
        <w:shd w:val="clear" w:color="auto" w:fill="FFFFFF"/>
        <w:spacing w:line="276" w:lineRule="auto"/>
        <w:jc w:val="both"/>
        <w:rPr>
          <w:rFonts w:ascii="Times New Roman" w:eastAsia="Times New Roman" w:hAnsi="Times New Roman" w:cs="Times New Roman"/>
          <w:b/>
          <w:i/>
          <w:color w:val="333333"/>
          <w:highlight w:val="white"/>
        </w:rPr>
      </w:pPr>
    </w:p>
    <w:p w14:paraId="186321DB" w14:textId="77777777" w:rsidR="006F1CFB" w:rsidRDefault="00CB299E">
      <w:pPr>
        <w:shd w:val="clear" w:color="auto" w:fill="FFFFFF"/>
        <w:spacing w:line="276" w:lineRule="auto"/>
        <w:ind w:left="720"/>
        <w:jc w:val="both"/>
        <w:rPr>
          <w:rFonts w:ascii="Times New Roman" w:eastAsia="Times New Roman" w:hAnsi="Times New Roman" w:cs="Times New Roman"/>
          <w:b/>
          <w:i/>
          <w:color w:val="333333"/>
          <w:highlight w:val="white"/>
        </w:rPr>
      </w:pPr>
      <w:r>
        <w:rPr>
          <w:rFonts w:ascii="Times New Roman" w:eastAsia="Times New Roman" w:hAnsi="Times New Roman" w:cs="Times New Roman"/>
          <w:i/>
          <w:color w:val="333333"/>
          <w:highlight w:val="white"/>
        </w:rPr>
        <w:t>Artículo 2. Objeto. El Grupo de Sinergia y Aceleración de Proyectos e Iniciativas de Transformación Digital es la instancia de coordinación, seguimiento, acompañamiento y evaluación de proyectos de transformación digital del Distrito Capital, que se encargará de realizar actividades de análisis, diagnóstico y formulación de sugerencias, entre otras, relacionadas con las iniciativas y proyectos de transformación digital del Distrito, así como para la definición acciones de coordinación al interior de la administración distrital y con los demás actores del ecosistema digital.</w:t>
      </w:r>
      <w:r>
        <w:rPr>
          <w:rFonts w:ascii="Times New Roman" w:eastAsia="Times New Roman" w:hAnsi="Times New Roman" w:cs="Times New Roman"/>
          <w:i/>
          <w:color w:val="333333"/>
          <w:highlight w:val="white"/>
          <w:vertAlign w:val="superscript"/>
        </w:rPr>
        <w:footnoteReference w:id="3"/>
      </w:r>
      <w:r>
        <w:rPr>
          <w:rFonts w:ascii="Times New Roman" w:eastAsia="Times New Roman" w:hAnsi="Times New Roman" w:cs="Times New Roman"/>
          <w:i/>
          <w:color w:val="333333"/>
          <w:highlight w:val="white"/>
        </w:rPr>
        <w:t>”</w:t>
      </w:r>
    </w:p>
    <w:p w14:paraId="2E169D16" w14:textId="77777777" w:rsidR="006F1CFB" w:rsidRDefault="006F1CFB">
      <w:pPr>
        <w:shd w:val="clear" w:color="auto" w:fill="FFFFFF"/>
        <w:spacing w:line="276" w:lineRule="auto"/>
        <w:jc w:val="both"/>
        <w:rPr>
          <w:rFonts w:ascii="Times New Roman" w:eastAsia="Times New Roman" w:hAnsi="Times New Roman" w:cs="Times New Roman"/>
          <w:b/>
          <w:i/>
          <w:color w:val="333333"/>
          <w:highlight w:val="white"/>
        </w:rPr>
      </w:pPr>
    </w:p>
    <w:p w14:paraId="34951641"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ACUERDO 822 DE 2021</w:t>
      </w:r>
    </w:p>
    <w:p w14:paraId="56839D78"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 “Por medio del cual se dictan los lineamientos para la promoción del ciclo virtuoso de la seguridad, el uso y aprovechamiento de los datos en Bogotá</w:t>
      </w:r>
    </w:p>
    <w:p w14:paraId="123CE6FA"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4575CB41"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color w:val="333333"/>
          <w:highlight w:val="white"/>
        </w:rPr>
        <w:t>ARTÍCULO 2. Contrato Social sobre uso de datos</w:t>
      </w:r>
      <w:r>
        <w:rPr>
          <w:rFonts w:ascii="Times New Roman" w:eastAsia="Times New Roman" w:hAnsi="Times New Roman" w:cs="Times New Roman"/>
          <w:b/>
          <w:i/>
          <w:color w:val="333333"/>
          <w:highlight w:val="white"/>
        </w:rPr>
        <w:t>.</w:t>
      </w:r>
      <w:r>
        <w:rPr>
          <w:rFonts w:ascii="Times New Roman" w:eastAsia="Times New Roman" w:hAnsi="Times New Roman" w:cs="Times New Roman"/>
          <w:i/>
          <w:color w:val="333333"/>
          <w:highlight w:val="white"/>
        </w:rPr>
        <w:t xml:space="preserve"> La Administración Distrital deberá diseñar un plan de trabajo acorde a la normatividad que rige la materia, con el fin de poner en funcionamiento un nuevo contrato social, que permita la democratización del uso de los datos para la construcción de una ciudad inteligente, así como el fortalecimiento de las relaciones de confianza entre las personas y las entidades públicas, permita mejorar el bienestar de la ciudadanía y la toma de las decisiones de política pública. Para la creación del mismo, se realizarán mesas trabajo entre la Administración Distrital, sectores económicos, agremiaciones, organizaciones sociales, ONG´s que trabajan el tema, academia y sociedad civil, y se articulará en debida forma su participación y aportes. Para la discusión y elaboración de un nuevo contrato social para el uso de datos, se propenderá por el empleo de tecnologías que maximicen su aprovechamiento, en particular las emergentes y las pertenecientes a la cuarta revolución industrial. Así mismo, las que implementen la automatización, </w:t>
      </w:r>
      <w:r>
        <w:rPr>
          <w:rFonts w:ascii="Times New Roman" w:eastAsia="Times New Roman" w:hAnsi="Times New Roman" w:cs="Times New Roman"/>
          <w:i/>
          <w:color w:val="333333"/>
          <w:highlight w:val="white"/>
          <w:u w:val="single"/>
        </w:rPr>
        <w:t>fomenten el uso de la inteligencia artificial</w:t>
      </w:r>
      <w:r>
        <w:rPr>
          <w:rFonts w:ascii="Times New Roman" w:eastAsia="Times New Roman" w:hAnsi="Times New Roman" w:cs="Times New Roman"/>
          <w:i/>
          <w:color w:val="333333"/>
          <w:highlight w:val="white"/>
        </w:rPr>
        <w:t>, del internet de las cosas, basen sus predicciones en algoritmos y las demás que se consideren pertinentes para estos fines.</w:t>
      </w:r>
    </w:p>
    <w:p w14:paraId="53034C90" w14:textId="77777777" w:rsidR="006F1CFB" w:rsidRDefault="006F1CFB">
      <w:pPr>
        <w:shd w:val="clear" w:color="auto" w:fill="FFFFFF"/>
        <w:spacing w:line="276" w:lineRule="auto"/>
        <w:jc w:val="both"/>
        <w:rPr>
          <w:rFonts w:ascii="Times New Roman" w:eastAsia="Times New Roman" w:hAnsi="Times New Roman" w:cs="Times New Roman"/>
          <w:i/>
          <w:color w:val="333333"/>
        </w:rPr>
      </w:pPr>
    </w:p>
    <w:p w14:paraId="409D02E2" w14:textId="77777777" w:rsidR="006F1CFB" w:rsidRDefault="00CB299E">
      <w:pPr>
        <w:shd w:val="clear" w:color="auto" w:fill="FFFFFF"/>
        <w:spacing w:line="276" w:lineRule="auto"/>
        <w:ind w:left="720"/>
        <w:jc w:val="both"/>
        <w:rPr>
          <w:rFonts w:ascii="Times New Roman" w:eastAsia="Times New Roman" w:hAnsi="Times New Roman" w:cs="Times New Roman"/>
          <w:b/>
          <w:color w:val="333333"/>
        </w:rPr>
      </w:pPr>
      <w:r>
        <w:rPr>
          <w:rFonts w:ascii="Times New Roman" w:eastAsia="Times New Roman" w:hAnsi="Times New Roman" w:cs="Times New Roman"/>
          <w:i/>
          <w:color w:val="333333"/>
          <w:highlight w:val="white"/>
        </w:rPr>
        <w:t>PARÁGRAFO. Cuando se esté frente a datos sensibles que pongan en riesgo la integridad de la persona o a una posible vulneración de sus derechos fundamentales, el Distrito activará los protocolos adicionales necesarios que garanticen el anonimato de quienes aportan los datos y realizará las acciones correspondientes para garantizar la prevalencia de los derechos del titular de los datos.”</w:t>
      </w:r>
    </w:p>
    <w:p w14:paraId="62847862" w14:textId="77777777" w:rsidR="006F1CFB" w:rsidRDefault="006F1CFB">
      <w:pPr>
        <w:shd w:val="clear" w:color="auto" w:fill="FFFFFF"/>
        <w:spacing w:line="276" w:lineRule="auto"/>
        <w:jc w:val="both"/>
        <w:rPr>
          <w:rFonts w:ascii="Times New Roman" w:eastAsia="Times New Roman" w:hAnsi="Times New Roman" w:cs="Times New Roman"/>
          <w:color w:val="333333"/>
          <w:highlight w:val="white"/>
        </w:rPr>
      </w:pPr>
    </w:p>
    <w:p w14:paraId="0F0B311B"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3B6782B2"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0D0DAEC0"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 xml:space="preserve">ACUERDO 365 DE 2009 </w:t>
      </w:r>
    </w:p>
    <w:p w14:paraId="60F5A52F"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"Por medio del cual se crea el Registro Único Distrital para los casos de violencia sexual en el Distrito Capital -RUDPA-</w:t>
      </w:r>
      <w:r>
        <w:rPr>
          <w:rFonts w:ascii="Times New Roman" w:eastAsia="Times New Roman" w:hAnsi="Times New Roman" w:cs="Times New Roman"/>
          <w:i/>
          <w:color w:val="333333"/>
          <w:highlight w:val="white"/>
          <w:vertAlign w:val="superscript"/>
        </w:rPr>
        <w:footnoteReference w:id="4"/>
      </w:r>
    </w:p>
    <w:p w14:paraId="4ACEE712" w14:textId="77777777" w:rsidR="006F1CFB" w:rsidRDefault="006F1CFB">
      <w:pPr>
        <w:shd w:val="clear" w:color="auto" w:fill="FFFFFF"/>
        <w:spacing w:line="276" w:lineRule="auto"/>
        <w:jc w:val="both"/>
        <w:rPr>
          <w:rFonts w:ascii="Times New Roman" w:eastAsia="Times New Roman" w:hAnsi="Times New Roman" w:cs="Times New Roman"/>
          <w:b/>
          <w:i/>
          <w:color w:val="333333"/>
          <w:highlight w:val="white"/>
        </w:rPr>
      </w:pPr>
    </w:p>
    <w:p w14:paraId="7E83860F"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ARTÍCULO 1º. Créase el Registro Único Distrital para los casos de Violencia Sexual en el Distrito Capital –RUDPA- como un sistema de información cuyo objeto es consolidar la información sobre delitos sexuales en general y sobre el número de condenas proferidas por los delitos contra la libertad, integridad y formación sexual de niñas, niños y adolescentes en particular. Como resultado de convenios interinstitucionales se obtendrá información que permita caracterizar estos delitos y formular políticas públicas de prevención y atención.”</w:t>
      </w:r>
    </w:p>
    <w:p w14:paraId="16BAFC91"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1E77F79B"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 xml:space="preserve">ACUERDO 926 DE 2023 </w:t>
      </w:r>
    </w:p>
    <w:p w14:paraId="7B62C03C" w14:textId="77777777" w:rsidR="006F1CFB" w:rsidRDefault="00CB299E">
      <w:pPr>
        <w:shd w:val="clear" w:color="auto" w:fill="FFFFFF"/>
        <w:spacing w:line="276" w:lineRule="auto"/>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“Por el cual se crea la aplicación de denuncia de actos de violencia sexual cometidos contra los niños, niñas, adolescentes y jóvenes en colegios públicos y privados del distrito, para uso exclusivo de estos mismos</w:t>
      </w:r>
    </w:p>
    <w:p w14:paraId="1675B037" w14:textId="77777777" w:rsidR="006F1CFB" w:rsidRDefault="006F1CFB">
      <w:pPr>
        <w:shd w:val="clear" w:color="auto" w:fill="FFFFFF"/>
        <w:spacing w:line="276" w:lineRule="auto"/>
        <w:jc w:val="both"/>
        <w:rPr>
          <w:rFonts w:ascii="Times New Roman" w:eastAsia="Times New Roman" w:hAnsi="Times New Roman" w:cs="Times New Roman"/>
          <w:i/>
          <w:color w:val="333333"/>
          <w:highlight w:val="white"/>
        </w:rPr>
      </w:pPr>
    </w:p>
    <w:p w14:paraId="3BF5EF8B"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ARTÍCULO 1°-. OBJETO: La Administración Distrital, en cabeza de la Secretaría de Educación del Distrito y las entidades pertinentes, crearán y administrarán la Aplicación para denuncia de actos de violencia sexual contra los niños, niñas, adolescentes y Jóvenes en los colegios públicos y privados del distrito </w:t>
      </w:r>
    </w:p>
    <w:p w14:paraId="64F37EDC"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6C56B62E"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Parágrafo. Para el desarrollo de la aplicación en mención se tomará como referencia la herramienta tecnológica del Sistema de Alertas de la Secretaría de Educación Distrital” </w:t>
      </w:r>
      <w:r>
        <w:rPr>
          <w:rFonts w:ascii="Times New Roman" w:eastAsia="Times New Roman" w:hAnsi="Times New Roman" w:cs="Times New Roman"/>
          <w:i/>
          <w:color w:val="333333"/>
          <w:highlight w:val="white"/>
          <w:vertAlign w:val="superscript"/>
        </w:rPr>
        <w:footnoteReference w:id="5"/>
      </w:r>
    </w:p>
    <w:p w14:paraId="5597F101"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41059B97"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ACUERDO 927 DE 2024</w:t>
      </w:r>
    </w:p>
    <w:p w14:paraId="0F2EBCBC" w14:textId="77777777" w:rsidR="006F1CFB" w:rsidRDefault="00CB299E">
      <w:pPr>
        <w:shd w:val="clear" w:color="auto" w:fill="FFFFFF"/>
        <w:spacing w:line="276" w:lineRule="auto"/>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“Por medio del cual se adopta el Plan de Desarrollo Económico, Social, Ambiental y de Obras Públicas del Distrito Capital 2024-2027 “Bogotá Camina Segura</w:t>
      </w:r>
    </w:p>
    <w:p w14:paraId="0F0B39B6" w14:textId="77777777" w:rsidR="006F1CFB" w:rsidRDefault="006F1CFB">
      <w:pPr>
        <w:shd w:val="clear" w:color="auto" w:fill="FFFFFF"/>
        <w:spacing w:line="276" w:lineRule="auto"/>
        <w:jc w:val="both"/>
        <w:rPr>
          <w:rFonts w:ascii="Times New Roman" w:eastAsia="Times New Roman" w:hAnsi="Times New Roman" w:cs="Times New Roman"/>
          <w:b/>
          <w:color w:val="333333"/>
          <w:highlight w:val="white"/>
        </w:rPr>
      </w:pPr>
    </w:p>
    <w:p w14:paraId="3CB1C48C"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“ARTÍCULO 23. Observatorio de Seguridad, Convivencia y Justicia en el Distrito Capital. Créase el Observatorio de Seguridad, Convivencia y Justicia en el Distrito Capital, el cual buscará recopilar, consolidar y producir información y análisis de los datos relevantes para el Sector Seguridad, Convivencia y Justicia. En articulación con las demás entidades públicas distritales y nacionales, privadas y organismos internacionales que generen datos como insumo para la definición e implementación de políticas públicas, estrategias, programas, proyectos y acciones relacionadas con el mejoramiento de la Seguridad y Convivencia Ciudadana, el acceso a la justicia y la conservación del orden público. En el Observatorio de Seguridad, Convivencia y Justicia en el Distrito Capital integrarán información del Sistema de Alertas y los entornos priorizados de la Oficina de Convivencia Escolar de la Secretaría Distrital de Educación. Dentro de las funciones del observatorio se incluirán la recopilación y análisis de datos, el monitoreo y evaluación, la realización de investigaciones y estudios, el asesoramiento técnico, la capacitación y sensibilización, la participación ciudadana y demás que se requieran por la administración.</w:t>
      </w:r>
    </w:p>
    <w:p w14:paraId="0ACE0900"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1D3C0C2F"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ARTÍCULO 126. Reporte único de presuntos casos de abuso sexual de NNA. La SDIS como líder de la política pública de primera infancia y adolescencia 2023-2033 y responsable de movilizar el cumplimiento del objetivo 1 “Reducir las situaciones de amenaza, inobservancia, y vulneración de los derechos de personas gestantes, niñas, niños y adolescentes.” diseñará e implementará un mecanismo de reporte para identificar, hacer análisis y seguimiento, de los presuntos casos de abuso sexual, identificados y reportados por las entidades de nivel distrital y otras corresponsables de la garantía de los derechos de las niñas, niños y adolescentes.</w:t>
      </w:r>
    </w:p>
    <w:p w14:paraId="23AC2FFB"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1FB97FE9"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Parágrafo 1. La Secretaría Distrital de Integración Social definirá la estructura, instrumentos, periodicidad y actores llamados a entregar el reporte.</w:t>
      </w:r>
    </w:p>
    <w:p w14:paraId="2A6CCB50"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 </w:t>
      </w:r>
    </w:p>
    <w:p w14:paraId="2AC08259"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Parágrafo 2. La Secretaría Distrital de Integración Social liderará una instancia distrital de seguimiento, de acuerdo con la ruta de atención a violencias sexuales contra niñas, niños y adolescentes.</w:t>
      </w:r>
    </w:p>
    <w:p w14:paraId="36555258"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 xml:space="preserve"> </w:t>
      </w:r>
    </w:p>
    <w:p w14:paraId="0244D4C9"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Parágrafo 3. Con la información y seguimiento del mecanismo, las entidades participantes podrán emitir recomendaciones de política, programas y proyectos normativos que contribuyan al logro del propósito de disminuir las situaciones de abuso sexual contra niñas, niños y adolescentes en la ciudad de Bogotá</w:t>
      </w:r>
    </w:p>
    <w:p w14:paraId="25A3DC31"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1A430DFC"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ARTÍCULO 228. Transformación Digital e impulso a la Ciudad Inteligente. La Secretaría General, a través de la Oficina Consejería Distrital de Tecnologías de la Información y las Comunicaciones -TIC, o quien haga sus veces, deberá orientar y definir estrategias y desarrollar acciones para mejorar la eficiencia en la gestión pública, potenciar la prestación de servicios a la ciudadanía y abordar de manera efectiva las problemáticas y necesidades de interés público en la ciudad y la región, con el objetivo de fomentar la incorporación de prácticas innovadoras y tecnológicas que permitan la implementación de proyectos estratégicos en una ciudad inteligente y la transformación digital para mejorar la eficiencia en la gestión pública, potenciar la prestación de servicios a la ciudadanía y abordar de manera efectiva las problemáticas y necesidades de interés público.</w:t>
      </w:r>
    </w:p>
    <w:p w14:paraId="197C4049"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4EBAEBCA"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228.6. Orientar y acompañar la implementación de soluciones basadas en tecnologías exponenciales o emergentes como inteligencia artificial (IA), Internet de las cosas y Blockchain, entre otras, en diversos sectores para mejorar la eficiencia y la toma de decisiones e impactar positivamente la calidad de vida de los habitantes de Bogotá</w:t>
      </w:r>
      <w:r>
        <w:rPr>
          <w:i/>
          <w:color w:val="333333"/>
          <w:highlight w:val="white"/>
        </w:rPr>
        <w:t>.</w:t>
      </w:r>
      <w:r>
        <w:rPr>
          <w:rFonts w:ascii="Times New Roman" w:eastAsia="Times New Roman" w:hAnsi="Times New Roman" w:cs="Times New Roman"/>
          <w:i/>
          <w:color w:val="333333"/>
          <w:highlight w:val="white"/>
        </w:rPr>
        <w:t>”</w:t>
      </w:r>
      <w:r>
        <w:rPr>
          <w:rFonts w:ascii="Times New Roman" w:eastAsia="Times New Roman" w:hAnsi="Times New Roman" w:cs="Times New Roman"/>
          <w:i/>
          <w:color w:val="333333"/>
          <w:highlight w:val="white"/>
          <w:vertAlign w:val="superscript"/>
        </w:rPr>
        <w:footnoteReference w:id="6"/>
      </w:r>
    </w:p>
    <w:p w14:paraId="73F471DB" w14:textId="77777777" w:rsidR="006F1CFB" w:rsidRDefault="006F1CFB">
      <w:pPr>
        <w:shd w:val="clear" w:color="auto" w:fill="FFFFFF"/>
        <w:spacing w:line="276" w:lineRule="auto"/>
        <w:jc w:val="both"/>
        <w:rPr>
          <w:rFonts w:ascii="Times New Roman" w:eastAsia="Times New Roman" w:hAnsi="Times New Roman" w:cs="Times New Roman"/>
          <w:color w:val="333333"/>
          <w:highlight w:val="white"/>
        </w:rPr>
      </w:pPr>
    </w:p>
    <w:p w14:paraId="03C0D7B9" w14:textId="77777777" w:rsidR="006F1CFB" w:rsidRDefault="00CB299E">
      <w:pPr>
        <w:shd w:val="clear" w:color="auto" w:fill="FFFFFF"/>
        <w:spacing w:line="276" w:lineRule="auto"/>
        <w:jc w:val="both"/>
        <w:rPr>
          <w:rFonts w:ascii="Times New Roman" w:eastAsia="Times New Roman" w:hAnsi="Times New Roman" w:cs="Times New Roman"/>
          <w:b/>
          <w:color w:val="333333"/>
        </w:rPr>
      </w:pPr>
      <w:r>
        <w:rPr>
          <w:rFonts w:ascii="Times New Roman" w:eastAsia="Times New Roman" w:hAnsi="Times New Roman" w:cs="Times New Roman"/>
          <w:b/>
          <w:color w:val="333333"/>
        </w:rPr>
        <w:t>5.1 DECRETOS DISTRITALES</w:t>
      </w:r>
    </w:p>
    <w:p w14:paraId="18207CBF" w14:textId="77777777" w:rsidR="006F1CFB" w:rsidRDefault="006F1CFB">
      <w:pPr>
        <w:shd w:val="clear" w:color="auto" w:fill="FFFFFF"/>
        <w:spacing w:line="276" w:lineRule="auto"/>
        <w:jc w:val="center"/>
        <w:rPr>
          <w:rFonts w:ascii="Times New Roman" w:eastAsia="Times New Roman" w:hAnsi="Times New Roman" w:cs="Times New Roman"/>
          <w:b/>
          <w:color w:val="333333"/>
        </w:rPr>
      </w:pPr>
    </w:p>
    <w:p w14:paraId="315E6921" w14:textId="77777777" w:rsidR="006F1CFB" w:rsidRDefault="00CB299E">
      <w:pPr>
        <w:pStyle w:val="Ttulo1"/>
        <w:keepNext w:val="0"/>
        <w:shd w:val="clear" w:color="auto" w:fill="FFFFFF"/>
        <w:spacing w:line="276" w:lineRule="auto"/>
        <w:jc w:val="left"/>
        <w:rPr>
          <w:b/>
          <w:color w:val="181717"/>
        </w:rPr>
      </w:pPr>
      <w:bookmarkStart w:id="1" w:name="_heading=h.ro15v42xg4bl" w:colFirst="0" w:colLast="0"/>
      <w:bookmarkEnd w:id="1"/>
      <w:r>
        <w:rPr>
          <w:b/>
          <w:color w:val="181717"/>
        </w:rPr>
        <w:t xml:space="preserve">DECRETO 025 DE 2021 </w:t>
      </w:r>
    </w:p>
    <w:p w14:paraId="0DF3E43E" w14:textId="77777777" w:rsidR="006F1CFB" w:rsidRDefault="00CB299E">
      <w:pPr>
        <w:pStyle w:val="Ttulo1"/>
        <w:keepNext w:val="0"/>
        <w:shd w:val="clear" w:color="auto" w:fill="FFFFFF"/>
        <w:spacing w:line="276" w:lineRule="auto"/>
        <w:jc w:val="left"/>
        <w:rPr>
          <w:i/>
          <w:color w:val="181717"/>
          <w:highlight w:val="white"/>
        </w:rPr>
      </w:pPr>
      <w:bookmarkStart w:id="2" w:name="_heading=h.hjtzamfax22u" w:colFirst="0" w:colLast="0"/>
      <w:bookmarkEnd w:id="2"/>
      <w:r>
        <w:rPr>
          <w:i/>
          <w:color w:val="181717"/>
          <w:highlight w:val="white"/>
        </w:rPr>
        <w:t>Por medio del cual se reglamenta la Comisión Distrital de Transformación Digital</w:t>
      </w:r>
    </w:p>
    <w:p w14:paraId="6087DC6A" w14:textId="77777777" w:rsidR="006F1CFB" w:rsidRDefault="006F1CFB">
      <w:pPr>
        <w:spacing w:line="276" w:lineRule="auto"/>
        <w:rPr>
          <w:rFonts w:ascii="Times New Roman" w:eastAsia="Times New Roman" w:hAnsi="Times New Roman" w:cs="Times New Roman"/>
          <w:sz w:val="22"/>
          <w:szCs w:val="22"/>
        </w:rPr>
      </w:pPr>
    </w:p>
    <w:p w14:paraId="571FA9B2" w14:textId="77777777" w:rsidR="006F1CFB" w:rsidRDefault="00CB299E">
      <w:pPr>
        <w:spacing w:line="276" w:lineRule="auto"/>
        <w:ind w:left="720"/>
        <w:rPr>
          <w:rFonts w:ascii="Times New Roman" w:eastAsia="Times New Roman" w:hAnsi="Times New Roman" w:cs="Times New Roman"/>
          <w:i/>
          <w:sz w:val="22"/>
          <w:szCs w:val="22"/>
        </w:rPr>
      </w:pPr>
      <w:r>
        <w:rPr>
          <w:rFonts w:ascii="Times New Roman" w:eastAsia="Times New Roman" w:hAnsi="Times New Roman" w:cs="Times New Roman"/>
          <w:i/>
          <w:sz w:val="22"/>
          <w:szCs w:val="22"/>
        </w:rPr>
        <w:t>ARTÍCULO 5.- FUNCIONES DE LA COMISIÓN DISTRITAL DE TRANSFORMACIÓN DIGITAL. La Comisión Distrital de Transformación Digital, cumplirá las siguientes funciones básicas:</w:t>
      </w:r>
    </w:p>
    <w:p w14:paraId="74BDEDAC" w14:textId="77777777" w:rsidR="006F1CFB" w:rsidRDefault="006F1CFB">
      <w:pPr>
        <w:spacing w:line="276" w:lineRule="auto"/>
        <w:ind w:left="720"/>
        <w:rPr>
          <w:rFonts w:ascii="Times New Roman" w:eastAsia="Times New Roman" w:hAnsi="Times New Roman" w:cs="Times New Roman"/>
          <w:i/>
          <w:sz w:val="22"/>
          <w:szCs w:val="22"/>
        </w:rPr>
      </w:pPr>
    </w:p>
    <w:p w14:paraId="3553E1C9"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rPr>
      </w:pPr>
      <w:r>
        <w:rPr>
          <w:rFonts w:ascii="Times New Roman" w:eastAsia="Times New Roman" w:hAnsi="Times New Roman" w:cs="Times New Roman"/>
          <w:i/>
          <w:color w:val="181717"/>
        </w:rPr>
        <w:t>(...)3. Articular los proyectos de transformación digital del Distrito, logrando cooperación interinstitucional e intersectorial, así como con otras instancias territoriales, nacionales e internacionales.</w:t>
      </w:r>
    </w:p>
    <w:p w14:paraId="6E09B110"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rPr>
      </w:pPr>
      <w:r>
        <w:rPr>
          <w:rFonts w:ascii="Times New Roman" w:eastAsia="Times New Roman" w:hAnsi="Times New Roman" w:cs="Times New Roman"/>
          <w:i/>
          <w:color w:val="181717"/>
        </w:rPr>
        <w:t xml:space="preserve"> </w:t>
      </w:r>
    </w:p>
    <w:p w14:paraId="04DA92E0"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rPr>
      </w:pPr>
      <w:r>
        <w:rPr>
          <w:rFonts w:ascii="Times New Roman" w:eastAsia="Times New Roman" w:hAnsi="Times New Roman" w:cs="Times New Roman"/>
          <w:i/>
          <w:color w:val="181717"/>
        </w:rPr>
        <w:t>4. Dinamizar los proyectos e iniciativas que promuevan la consolidación de Bogotá como un territorio inteligente.</w:t>
      </w:r>
    </w:p>
    <w:p w14:paraId="5041499B"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rPr>
      </w:pPr>
      <w:r>
        <w:rPr>
          <w:rFonts w:ascii="Times New Roman" w:eastAsia="Times New Roman" w:hAnsi="Times New Roman" w:cs="Times New Roman"/>
          <w:i/>
          <w:color w:val="181717"/>
        </w:rPr>
        <w:t xml:space="preserve"> </w:t>
      </w:r>
    </w:p>
    <w:p w14:paraId="73B19BEB"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rPr>
      </w:pPr>
      <w:r>
        <w:rPr>
          <w:rFonts w:ascii="Times New Roman" w:eastAsia="Times New Roman" w:hAnsi="Times New Roman" w:cs="Times New Roman"/>
          <w:i/>
          <w:color w:val="181717"/>
        </w:rPr>
        <w:t>5. Socializar las mejores prácticas, casos de éxito y tendencias tecnológicas, para promover la transformación digital del Distrito.</w:t>
      </w:r>
    </w:p>
    <w:p w14:paraId="7FB773B0"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rPr>
      </w:pPr>
      <w:r>
        <w:rPr>
          <w:rFonts w:ascii="Times New Roman" w:eastAsia="Times New Roman" w:hAnsi="Times New Roman" w:cs="Times New Roman"/>
          <w:i/>
          <w:color w:val="181717"/>
        </w:rPr>
        <w:t xml:space="preserve"> </w:t>
      </w:r>
    </w:p>
    <w:p w14:paraId="3BDE27BD"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rPr>
      </w:pPr>
      <w:r>
        <w:rPr>
          <w:rFonts w:ascii="Times New Roman" w:eastAsia="Times New Roman" w:hAnsi="Times New Roman" w:cs="Times New Roman"/>
          <w:i/>
          <w:color w:val="181717"/>
        </w:rPr>
        <w:t>6. Definir marcos, modelos y estándares para utilización de tecnologías emergentes en el Distrito. (...)</w:t>
      </w:r>
    </w:p>
    <w:p w14:paraId="54A760CA" w14:textId="77777777" w:rsidR="006F1CFB" w:rsidRDefault="006F1CFB">
      <w:pPr>
        <w:shd w:val="clear" w:color="auto" w:fill="FFFFFF"/>
        <w:spacing w:line="276" w:lineRule="auto"/>
        <w:ind w:left="720"/>
        <w:jc w:val="both"/>
        <w:rPr>
          <w:rFonts w:ascii="Times New Roman" w:eastAsia="Times New Roman" w:hAnsi="Times New Roman" w:cs="Times New Roman"/>
          <w:i/>
          <w:color w:val="181717"/>
        </w:rPr>
      </w:pPr>
    </w:p>
    <w:p w14:paraId="34390B23" w14:textId="77777777" w:rsidR="006F1CFB" w:rsidRDefault="00CB299E">
      <w:pPr>
        <w:shd w:val="clear" w:color="auto" w:fill="FFFFFF"/>
        <w:spacing w:line="276" w:lineRule="auto"/>
        <w:jc w:val="both"/>
        <w:rPr>
          <w:rFonts w:ascii="Times New Roman" w:eastAsia="Times New Roman" w:hAnsi="Times New Roman" w:cs="Times New Roman"/>
          <w:b/>
          <w:color w:val="333333"/>
          <w:highlight w:val="white"/>
        </w:rPr>
      </w:pPr>
      <w:r>
        <w:rPr>
          <w:rFonts w:ascii="Times New Roman" w:eastAsia="Times New Roman" w:hAnsi="Times New Roman" w:cs="Times New Roman"/>
          <w:b/>
          <w:color w:val="333333"/>
          <w:highlight w:val="white"/>
        </w:rPr>
        <w:t>DECRETO 272 DE 2020</w:t>
      </w:r>
    </w:p>
    <w:p w14:paraId="0B6D0AD2" w14:textId="77777777" w:rsidR="006F1CFB" w:rsidRDefault="00CB299E">
      <w:p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“Por medio del cual se autoriza la constitución de la Agencia de Analítica de Datos “Ágata” y se dictan otras disposiciones</w:t>
      </w:r>
    </w:p>
    <w:p w14:paraId="7144CA3E" w14:textId="77777777" w:rsidR="006F1CFB" w:rsidRDefault="006F1CFB">
      <w:pPr>
        <w:shd w:val="clear" w:color="auto" w:fill="FFFFFF"/>
        <w:spacing w:line="276" w:lineRule="auto"/>
        <w:jc w:val="both"/>
        <w:rPr>
          <w:rFonts w:ascii="Times New Roman" w:eastAsia="Times New Roman" w:hAnsi="Times New Roman" w:cs="Times New Roman"/>
          <w:color w:val="333333"/>
          <w:highlight w:val="white"/>
        </w:rPr>
      </w:pPr>
    </w:p>
    <w:p w14:paraId="770F8FF3"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b/>
          <w:i/>
          <w:color w:val="333333"/>
          <w:highlight w:val="white"/>
        </w:rPr>
        <w:t>ARTÍCULO</w:t>
      </w:r>
      <w:r>
        <w:rPr>
          <w:rFonts w:ascii="Times New Roman" w:eastAsia="Times New Roman" w:hAnsi="Times New Roman" w:cs="Times New Roman"/>
          <w:i/>
          <w:color w:val="333333"/>
          <w:highlight w:val="white"/>
        </w:rPr>
        <w:t xml:space="preserve"> </w:t>
      </w:r>
      <w:r>
        <w:rPr>
          <w:rFonts w:ascii="Times New Roman" w:eastAsia="Times New Roman" w:hAnsi="Times New Roman" w:cs="Times New Roman"/>
          <w:b/>
          <w:i/>
          <w:color w:val="333333"/>
          <w:highlight w:val="white"/>
        </w:rPr>
        <w:t>2°.</w:t>
      </w:r>
      <w:r>
        <w:rPr>
          <w:rFonts w:ascii="Times New Roman" w:eastAsia="Times New Roman" w:hAnsi="Times New Roman" w:cs="Times New Roman"/>
          <w:i/>
          <w:color w:val="333333"/>
          <w:highlight w:val="white"/>
        </w:rPr>
        <w:t xml:space="preserve"> </w:t>
      </w:r>
      <w:r>
        <w:rPr>
          <w:rFonts w:ascii="Times New Roman" w:eastAsia="Times New Roman" w:hAnsi="Times New Roman" w:cs="Times New Roman"/>
          <w:b/>
          <w:i/>
          <w:color w:val="333333"/>
          <w:highlight w:val="white"/>
        </w:rPr>
        <w:t>Funciones Esenciales.</w:t>
      </w:r>
      <w:r>
        <w:rPr>
          <w:rFonts w:ascii="Times New Roman" w:eastAsia="Times New Roman" w:hAnsi="Times New Roman" w:cs="Times New Roman"/>
          <w:i/>
          <w:color w:val="333333"/>
          <w:highlight w:val="white"/>
        </w:rPr>
        <w:t xml:space="preserve"> De acuerdo con lo establecido en el artículo 145 del Acuerdo Distrital 761 de 2020, la Agencia de Analítica de Datos “Ágata” tendrá, entre otras, las siguientes funciones esenciales:</w:t>
      </w:r>
    </w:p>
    <w:p w14:paraId="2B125EFB"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7AD286D7"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181717"/>
          <w:sz w:val="20"/>
          <w:szCs w:val="20"/>
          <w:highlight w:val="white"/>
        </w:rPr>
        <w:t>(...) (i)</w:t>
      </w:r>
      <w:r>
        <w:rPr>
          <w:rFonts w:ascii="Times New Roman" w:eastAsia="Times New Roman" w:hAnsi="Times New Roman" w:cs="Times New Roman"/>
          <w:i/>
          <w:color w:val="181717"/>
          <w:sz w:val="14"/>
          <w:szCs w:val="14"/>
          <w:highlight w:val="white"/>
        </w:rPr>
        <w:t xml:space="preserve"> </w:t>
      </w:r>
      <w:r>
        <w:rPr>
          <w:rFonts w:ascii="Times New Roman" w:eastAsia="Times New Roman" w:hAnsi="Times New Roman" w:cs="Times New Roman"/>
          <w:i/>
          <w:color w:val="333333"/>
          <w:highlight w:val="white"/>
        </w:rPr>
        <w:t>Participar en la formulación, coordinación y ejecución de las políticas, planes y programas Distritales destinados a fortalecer las capacidades institucionales del Distrito Capital en analítica, innovación y transformación digital para la toma de decisiones basadas en datos, bajo la orientación de los organismos y entidades distritales competentes.</w:t>
      </w:r>
    </w:p>
    <w:p w14:paraId="798BE721"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072ED4F4" w14:textId="77777777" w:rsidR="006F1CFB" w:rsidRDefault="00CB299E">
      <w:pPr>
        <w:shd w:val="clear" w:color="auto" w:fill="FFFFFF"/>
        <w:spacing w:line="276" w:lineRule="auto"/>
        <w:ind w:left="720"/>
        <w:jc w:val="both"/>
        <w:rPr>
          <w:rFonts w:ascii="Times New Roman" w:eastAsia="Times New Roman" w:hAnsi="Times New Roman" w:cs="Times New Roman"/>
          <w:i/>
          <w:color w:val="333333"/>
          <w:highlight w:val="white"/>
        </w:rPr>
      </w:pPr>
      <w:r>
        <w:rPr>
          <w:rFonts w:ascii="Times New Roman" w:eastAsia="Times New Roman" w:hAnsi="Times New Roman" w:cs="Times New Roman"/>
          <w:i/>
          <w:color w:val="181717"/>
          <w:sz w:val="20"/>
          <w:szCs w:val="20"/>
          <w:highlight w:val="white"/>
        </w:rPr>
        <w:t>(ix)</w:t>
      </w:r>
      <w:r>
        <w:rPr>
          <w:rFonts w:ascii="Times New Roman" w:eastAsia="Times New Roman" w:hAnsi="Times New Roman" w:cs="Times New Roman"/>
          <w:i/>
          <w:color w:val="181717"/>
          <w:sz w:val="14"/>
          <w:szCs w:val="14"/>
          <w:highlight w:val="white"/>
        </w:rPr>
        <w:t xml:space="preserve"> </w:t>
      </w:r>
      <w:r>
        <w:rPr>
          <w:rFonts w:ascii="Times New Roman" w:eastAsia="Times New Roman" w:hAnsi="Times New Roman" w:cs="Times New Roman"/>
          <w:i/>
          <w:color w:val="333333"/>
          <w:highlight w:val="white"/>
        </w:rPr>
        <w:t>Generar e implementar modelos, métodos, plataformas e instrumentos para el desarrollo de capacidades y competencias tecnológicas en el uso y análisis de los datos y su aplicación en la atención de las necesidades del sector público, el sector privado y la ciudadanía en general.”</w:t>
      </w:r>
      <w:r>
        <w:rPr>
          <w:rFonts w:ascii="Times New Roman" w:eastAsia="Times New Roman" w:hAnsi="Times New Roman" w:cs="Times New Roman"/>
          <w:i/>
          <w:color w:val="333333"/>
          <w:highlight w:val="white"/>
          <w:vertAlign w:val="superscript"/>
        </w:rPr>
        <w:footnoteReference w:id="7"/>
      </w:r>
      <w:r>
        <w:rPr>
          <w:rFonts w:ascii="Times New Roman" w:eastAsia="Times New Roman" w:hAnsi="Times New Roman" w:cs="Times New Roman"/>
          <w:i/>
          <w:color w:val="333333"/>
          <w:highlight w:val="white"/>
        </w:rPr>
        <w:t xml:space="preserve"> (...)</w:t>
      </w:r>
    </w:p>
    <w:p w14:paraId="2AAC40C6" w14:textId="77777777" w:rsidR="006F1CFB" w:rsidRDefault="006F1CFB">
      <w:pPr>
        <w:shd w:val="clear" w:color="auto" w:fill="FFFFFF"/>
        <w:spacing w:line="276" w:lineRule="auto"/>
        <w:ind w:left="720"/>
        <w:jc w:val="both"/>
        <w:rPr>
          <w:rFonts w:ascii="Times New Roman" w:eastAsia="Times New Roman" w:hAnsi="Times New Roman" w:cs="Times New Roman"/>
          <w:i/>
          <w:color w:val="333333"/>
          <w:highlight w:val="white"/>
        </w:rPr>
      </w:pPr>
    </w:p>
    <w:p w14:paraId="2D3DC53F" w14:textId="77777777" w:rsidR="006F1CFB" w:rsidRDefault="00CB299E">
      <w:pPr>
        <w:shd w:val="clear" w:color="auto" w:fill="FFFFFF"/>
        <w:spacing w:line="276" w:lineRule="auto"/>
        <w:jc w:val="both"/>
        <w:rPr>
          <w:rFonts w:ascii="Times New Roman" w:eastAsia="Times New Roman" w:hAnsi="Times New Roman" w:cs="Times New Roman"/>
          <w:i/>
          <w:color w:val="333333"/>
          <w:highlight w:val="yellow"/>
        </w:rPr>
      </w:pPr>
      <w:r>
        <w:rPr>
          <w:rFonts w:ascii="Times New Roman" w:eastAsia="Times New Roman" w:hAnsi="Times New Roman" w:cs="Times New Roman"/>
          <w:b/>
          <w:color w:val="333333"/>
          <w:highlight w:val="white"/>
        </w:rPr>
        <w:t>6. PROYECTOS AGATA</w:t>
      </w:r>
      <w:r>
        <w:rPr>
          <w:rFonts w:ascii="Times New Roman" w:eastAsia="Times New Roman" w:hAnsi="Times New Roman" w:cs="Times New Roman"/>
          <w:b/>
          <w:color w:val="333333"/>
          <w:highlight w:val="white"/>
          <w:vertAlign w:val="superscript"/>
        </w:rPr>
        <w:footnoteReference w:id="8"/>
      </w:r>
    </w:p>
    <w:p w14:paraId="35C4C925" w14:textId="77777777" w:rsidR="006F1CFB" w:rsidRDefault="006F1CFB">
      <w:pPr>
        <w:shd w:val="clear" w:color="auto" w:fill="FFFFFF"/>
        <w:spacing w:line="276" w:lineRule="auto"/>
        <w:jc w:val="both"/>
        <w:rPr>
          <w:rFonts w:ascii="Times New Roman" w:eastAsia="Times New Roman" w:hAnsi="Times New Roman" w:cs="Times New Roman"/>
          <w:i/>
          <w:color w:val="333333"/>
          <w:highlight w:val="yellow"/>
        </w:rPr>
      </w:pPr>
    </w:p>
    <w:sdt>
      <w:sdtPr>
        <w:tag w:val="goog_rdk_0"/>
        <w:id w:val="1261952877"/>
        <w:lock w:val="contentLocked"/>
      </w:sdtPr>
      <w:sdtEndPr/>
      <w:sdtContent>
        <w:tbl>
          <w:tblPr>
            <w:tblStyle w:val="a4"/>
            <w:tblW w:w="867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3105"/>
            <w:gridCol w:w="3705"/>
          </w:tblGrid>
          <w:tr w:rsidR="006F1CFB" w14:paraId="12E2E40B" w14:textId="77777777">
            <w:trPr>
              <w:tblHeader/>
            </w:trPr>
            <w:tc>
              <w:tcPr>
                <w:tcW w:w="1860" w:type="dxa"/>
                <w:shd w:val="clear" w:color="auto" w:fill="auto"/>
                <w:tcMar>
                  <w:top w:w="100" w:type="dxa"/>
                  <w:left w:w="100" w:type="dxa"/>
                  <w:bottom w:w="100" w:type="dxa"/>
                  <w:right w:w="100" w:type="dxa"/>
                </w:tcMar>
              </w:tcPr>
              <w:p w14:paraId="59656050"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Entidad</w:t>
                </w:r>
              </w:p>
            </w:tc>
            <w:tc>
              <w:tcPr>
                <w:tcW w:w="3105" w:type="dxa"/>
                <w:shd w:val="clear" w:color="auto" w:fill="auto"/>
                <w:tcMar>
                  <w:top w:w="100" w:type="dxa"/>
                  <w:left w:w="100" w:type="dxa"/>
                  <w:bottom w:w="100" w:type="dxa"/>
                  <w:right w:w="100" w:type="dxa"/>
                </w:tcMar>
              </w:tcPr>
              <w:p w14:paraId="212CCF08"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Proyecto</w:t>
                </w:r>
              </w:p>
            </w:tc>
            <w:tc>
              <w:tcPr>
                <w:tcW w:w="3705" w:type="dxa"/>
                <w:shd w:val="clear" w:color="auto" w:fill="auto"/>
                <w:tcMar>
                  <w:top w:w="100" w:type="dxa"/>
                  <w:left w:w="100" w:type="dxa"/>
                  <w:bottom w:w="100" w:type="dxa"/>
                  <w:right w:w="100" w:type="dxa"/>
                </w:tcMar>
              </w:tcPr>
              <w:p w14:paraId="4F0F23F2"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Resultado</w:t>
                </w:r>
              </w:p>
            </w:tc>
          </w:tr>
          <w:tr w:rsidR="006F1CFB" w14:paraId="3D1736E6" w14:textId="77777777">
            <w:tc>
              <w:tcPr>
                <w:tcW w:w="1860" w:type="dxa"/>
                <w:shd w:val="clear" w:color="auto" w:fill="auto"/>
                <w:tcMar>
                  <w:top w:w="100" w:type="dxa"/>
                  <w:left w:w="100" w:type="dxa"/>
                  <w:bottom w:w="100" w:type="dxa"/>
                  <w:right w:w="100" w:type="dxa"/>
                </w:tcMar>
              </w:tcPr>
              <w:p w14:paraId="25532768"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Secretaria Distrital de Integración Social</w:t>
                </w:r>
              </w:p>
            </w:tc>
            <w:tc>
              <w:tcPr>
                <w:tcW w:w="3105" w:type="dxa"/>
                <w:shd w:val="clear" w:color="auto" w:fill="auto"/>
                <w:tcMar>
                  <w:top w:w="100" w:type="dxa"/>
                  <w:left w:w="100" w:type="dxa"/>
                  <w:bottom w:w="100" w:type="dxa"/>
                  <w:right w:w="100" w:type="dxa"/>
                </w:tcMar>
              </w:tcPr>
              <w:p w14:paraId="021B771C"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Ciudadanía 360°, con un enfoque de herramienta de información para fortalecer el proceso de focalización de los servicios sociales que ella presta.</w:t>
                </w:r>
              </w:p>
              <w:p w14:paraId="72B514BB" w14:textId="77777777" w:rsidR="006F1CFB" w:rsidRDefault="006F1CFB">
                <w:pPr>
                  <w:widowControl w:val="0"/>
                  <w:rPr>
                    <w:rFonts w:ascii="Times New Roman" w:eastAsia="Times New Roman" w:hAnsi="Times New Roman" w:cs="Times New Roman"/>
                    <w:i/>
                    <w:color w:val="333333"/>
                    <w:highlight w:val="yellow"/>
                  </w:rPr>
                </w:pPr>
              </w:p>
            </w:tc>
            <w:tc>
              <w:tcPr>
                <w:tcW w:w="3705" w:type="dxa"/>
                <w:shd w:val="clear" w:color="auto" w:fill="auto"/>
                <w:tcMar>
                  <w:top w:w="100" w:type="dxa"/>
                  <w:left w:w="100" w:type="dxa"/>
                  <w:bottom w:w="100" w:type="dxa"/>
                  <w:right w:w="100" w:type="dxa"/>
                </w:tcMar>
              </w:tcPr>
              <w:p w14:paraId="27E9468B"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Esta herramienta genera alertas a futuro que permitirán “ahorrar” recursos para su refocalización que de acuerdo con estimaciones sería de al menos 3.330 millones por año. Gracias a la analítica de datos se promueve la transparencia sobre la gestión de beneficios. a los ciudadanos y uso de los recursos públicos.</w:t>
                </w:r>
              </w:p>
              <w:p w14:paraId="3B440F99" w14:textId="77777777" w:rsidR="006F1CFB" w:rsidRDefault="006F1CFB">
                <w:pPr>
                  <w:widowControl w:val="0"/>
                  <w:rPr>
                    <w:rFonts w:ascii="Times New Roman" w:eastAsia="Times New Roman" w:hAnsi="Times New Roman" w:cs="Times New Roman"/>
                    <w:i/>
                    <w:color w:val="333333"/>
                    <w:highlight w:val="white"/>
                  </w:rPr>
                </w:pPr>
              </w:p>
            </w:tc>
          </w:tr>
          <w:tr w:rsidR="006F1CFB" w14:paraId="13B34490" w14:textId="77777777">
            <w:tc>
              <w:tcPr>
                <w:tcW w:w="1860" w:type="dxa"/>
                <w:shd w:val="clear" w:color="auto" w:fill="auto"/>
                <w:tcMar>
                  <w:top w:w="100" w:type="dxa"/>
                  <w:left w:w="100" w:type="dxa"/>
                  <w:bottom w:w="100" w:type="dxa"/>
                  <w:right w:w="100" w:type="dxa"/>
                </w:tcMar>
              </w:tcPr>
              <w:p w14:paraId="3EA1F8FC"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Secretaria de Desarrollo Económico</w:t>
                </w:r>
              </w:p>
            </w:tc>
            <w:tc>
              <w:tcPr>
                <w:tcW w:w="3105" w:type="dxa"/>
                <w:shd w:val="clear" w:color="auto" w:fill="auto"/>
                <w:tcMar>
                  <w:top w:w="100" w:type="dxa"/>
                  <w:left w:w="100" w:type="dxa"/>
                  <w:bottom w:w="100" w:type="dxa"/>
                  <w:right w:w="100" w:type="dxa"/>
                </w:tcMar>
              </w:tcPr>
              <w:p w14:paraId="66D9B6CF"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Bogotá Trabaja Te Conecta: se desarrolló un caso de uso buscando disminuir el</w:t>
                </w:r>
              </w:p>
              <w:p w14:paraId="4947062E"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desempleo en Bogotá usando inteligencia artificial y bots. Las personas pueden</w:t>
                </w:r>
              </w:p>
              <w:p w14:paraId="44C4EA87"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utilizar esta plataforma para buscar ofertas laborales y recibir recomendaciones</w:t>
                </w:r>
              </w:p>
              <w:p w14:paraId="51661263"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basadas en modelos de Machine Learning. Esta innovación democratiza el acceso</w:t>
                </w:r>
              </w:p>
              <w:p w14:paraId="53DC3588"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 la información en tiempo real, reduciendo las asimetrías en el mercado laboral y generando un impacto positivo en la lucha contra el desempleo friccional, con esto se apoyará la ruta de empleo de más de 200.000 personas en el cuatrienio usando esta plataforma.</w:t>
                </w:r>
              </w:p>
              <w:p w14:paraId="41FE8CE1" w14:textId="77777777" w:rsidR="006F1CFB" w:rsidRDefault="006F1CFB">
                <w:pPr>
                  <w:widowControl w:val="0"/>
                  <w:rPr>
                    <w:rFonts w:ascii="Times New Roman" w:eastAsia="Times New Roman" w:hAnsi="Times New Roman" w:cs="Times New Roman"/>
                    <w:i/>
                    <w:color w:val="333333"/>
                    <w:highlight w:val="yellow"/>
                  </w:rPr>
                </w:pPr>
              </w:p>
            </w:tc>
            <w:tc>
              <w:tcPr>
                <w:tcW w:w="3705" w:type="dxa"/>
                <w:shd w:val="clear" w:color="auto" w:fill="auto"/>
                <w:tcMar>
                  <w:top w:w="100" w:type="dxa"/>
                  <w:left w:w="100" w:type="dxa"/>
                  <w:bottom w:w="100" w:type="dxa"/>
                  <w:right w:w="100" w:type="dxa"/>
                </w:tcMar>
              </w:tcPr>
              <w:p w14:paraId="5D6F71D9"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La herramienta se lanzó en diciembre de 2023 con 320 vacantes, 1.600 empresas y</w:t>
                </w:r>
              </w:p>
              <w:p w14:paraId="176F7112"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160.000 candidatos (hojas de vida del Servicio Público de empleo). El algoritmo de matching tiene un porcentaje de precisión entre el 76% y 80.2% teniendo en</w:t>
                </w:r>
              </w:p>
              <w:p w14:paraId="29516DD9"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cuenta una base de pruebas Y seguirá mejorando tras el lanzamiento de la plataforma.</w:t>
                </w:r>
              </w:p>
              <w:p w14:paraId="33EFDB0D" w14:textId="77777777" w:rsidR="006F1CFB" w:rsidRDefault="006F1CFB">
                <w:pPr>
                  <w:widowControl w:val="0"/>
                  <w:rPr>
                    <w:rFonts w:ascii="Times New Roman" w:eastAsia="Times New Roman" w:hAnsi="Times New Roman" w:cs="Times New Roman"/>
                    <w:i/>
                    <w:color w:val="333333"/>
                    <w:highlight w:val="yellow"/>
                  </w:rPr>
                </w:pPr>
              </w:p>
            </w:tc>
          </w:tr>
          <w:tr w:rsidR="006F1CFB" w14:paraId="0AA989E5" w14:textId="77777777">
            <w:tc>
              <w:tcPr>
                <w:tcW w:w="1860" w:type="dxa"/>
                <w:shd w:val="clear" w:color="auto" w:fill="auto"/>
                <w:tcMar>
                  <w:top w:w="100" w:type="dxa"/>
                  <w:left w:w="100" w:type="dxa"/>
                  <w:bottom w:w="100" w:type="dxa"/>
                  <w:right w:w="100" w:type="dxa"/>
                </w:tcMar>
              </w:tcPr>
              <w:p w14:paraId="5F59FCB0"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Secretaria Distrital  de Salud</w:t>
                </w:r>
              </w:p>
            </w:tc>
            <w:tc>
              <w:tcPr>
                <w:tcW w:w="3105" w:type="dxa"/>
                <w:shd w:val="clear" w:color="auto" w:fill="auto"/>
                <w:tcMar>
                  <w:top w:w="100" w:type="dxa"/>
                  <w:left w:w="100" w:type="dxa"/>
                  <w:bottom w:w="100" w:type="dxa"/>
                  <w:right w:w="100" w:type="dxa"/>
                </w:tcMar>
              </w:tcPr>
              <w:p w14:paraId="1A3FC481"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Analítica del sector con foco en salud preventiva para la optimización de la</w:t>
                </w:r>
              </w:p>
              <w:p w14:paraId="1B62572A"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gestión y de los recursos.</w:t>
                </w:r>
              </w:p>
              <w:p w14:paraId="26B6B8FB" w14:textId="77777777" w:rsidR="006F1CFB" w:rsidRDefault="006F1CFB">
                <w:pPr>
                  <w:widowControl w:val="0"/>
                  <w:rPr>
                    <w:rFonts w:ascii="Times New Roman" w:eastAsia="Times New Roman" w:hAnsi="Times New Roman" w:cs="Times New Roman"/>
                    <w:i/>
                    <w:color w:val="333333"/>
                    <w:highlight w:val="yellow"/>
                  </w:rPr>
                </w:pPr>
              </w:p>
            </w:tc>
            <w:tc>
              <w:tcPr>
                <w:tcW w:w="3705" w:type="dxa"/>
                <w:shd w:val="clear" w:color="auto" w:fill="auto"/>
                <w:tcMar>
                  <w:top w:w="100" w:type="dxa"/>
                  <w:left w:w="100" w:type="dxa"/>
                  <w:bottom w:w="100" w:type="dxa"/>
                  <w:right w:w="100" w:type="dxa"/>
                </w:tcMar>
              </w:tcPr>
              <w:p w14:paraId="4AE33D0A" w14:textId="77777777" w:rsidR="006F1CFB" w:rsidRDefault="00CB299E">
                <w:pPr>
                  <w:widowControl w:val="0"/>
                  <w:rPr>
                    <w:rFonts w:ascii="Times New Roman" w:eastAsia="Times New Roman" w:hAnsi="Times New Roman" w:cs="Times New Roman"/>
                    <w:i/>
                    <w:color w:val="333333"/>
                    <w:highlight w:val="white"/>
                  </w:rPr>
                </w:pPr>
                <w:r>
                  <w:rPr>
                    <w:rFonts w:ascii="Times New Roman" w:eastAsia="Times New Roman" w:hAnsi="Times New Roman" w:cs="Times New Roman"/>
                    <w:i/>
                    <w:color w:val="333333"/>
                    <w:highlight w:val="white"/>
                  </w:rPr>
                  <w:t>Monitoreo higiénico-sanitario de establecimientos abiertos al público, con revisión de conceptos sanitarios, medidas aplicadas y alcance de la cobertura; el seguimiento integral de la población materno perinatal, que incluye la planeación del embarazo, atención prenatal y diagnósticos, mediante el rastreo de factores de riesgo y protección, además del control de indicadores individuales; y, finalmente, la observación diaria de la oferta y demanda en la red de servicios de salud del Distrito Capital</w:t>
                </w:r>
              </w:p>
            </w:tc>
          </w:tr>
        </w:tbl>
      </w:sdtContent>
    </w:sdt>
    <w:p w14:paraId="251BC0D4" w14:textId="77777777" w:rsidR="006F1CFB" w:rsidRDefault="00CB299E">
      <w:pPr>
        <w:shd w:val="clear" w:color="auto" w:fill="FFFFFF"/>
        <w:spacing w:line="276" w:lineRule="auto"/>
        <w:jc w:val="both"/>
        <w:rPr>
          <w:rFonts w:ascii="Times New Roman" w:eastAsia="Times New Roman" w:hAnsi="Times New Roman" w:cs="Times New Roman"/>
          <w:b/>
          <w:color w:val="181717"/>
        </w:rPr>
      </w:pPr>
      <w:r>
        <w:rPr>
          <w:rFonts w:ascii="Times New Roman" w:eastAsia="Times New Roman" w:hAnsi="Times New Roman" w:cs="Times New Roman"/>
          <w:b/>
          <w:color w:val="181717"/>
        </w:rPr>
        <w:t>7. REFERENCIAS INTERNACIONALES</w:t>
      </w:r>
    </w:p>
    <w:p w14:paraId="34C1460E" w14:textId="77777777" w:rsidR="006F1CFB" w:rsidRDefault="006F1CFB">
      <w:pPr>
        <w:shd w:val="clear" w:color="auto" w:fill="FFFFFF"/>
        <w:spacing w:line="276" w:lineRule="auto"/>
        <w:ind w:left="720"/>
        <w:jc w:val="both"/>
        <w:rPr>
          <w:rFonts w:ascii="Times New Roman" w:eastAsia="Times New Roman" w:hAnsi="Times New Roman" w:cs="Times New Roman"/>
          <w:i/>
          <w:color w:val="181717"/>
        </w:rPr>
      </w:pPr>
    </w:p>
    <w:p w14:paraId="75A95409" w14:textId="77777777" w:rsidR="006F1CFB" w:rsidRDefault="00CB299E">
      <w:pPr>
        <w:shd w:val="clear" w:color="auto" w:fill="FFFFFF"/>
        <w:spacing w:line="276" w:lineRule="auto"/>
        <w:jc w:val="both"/>
        <w:rPr>
          <w:rFonts w:ascii="Times New Roman" w:eastAsia="Times New Roman" w:hAnsi="Times New Roman" w:cs="Times New Roman"/>
          <w:i/>
          <w:color w:val="181717"/>
        </w:rPr>
      </w:pPr>
      <w:r>
        <w:rPr>
          <w:rFonts w:ascii="Times New Roman" w:eastAsia="Times New Roman" w:hAnsi="Times New Roman" w:cs="Times New Roman"/>
          <w:b/>
          <w:color w:val="181717"/>
          <w:u w:val="single"/>
        </w:rPr>
        <w:t>OCDE:</w:t>
      </w:r>
      <w:r>
        <w:rPr>
          <w:rFonts w:ascii="Times New Roman" w:eastAsia="Times New Roman" w:hAnsi="Times New Roman" w:cs="Times New Roman"/>
          <w:i/>
          <w:color w:val="181717"/>
        </w:rPr>
        <w:t xml:space="preserve"> Principios Éticos de la Inteligencia Artificial - OCDE</w:t>
      </w:r>
      <w:r>
        <w:rPr>
          <w:rFonts w:ascii="Times New Roman" w:eastAsia="Times New Roman" w:hAnsi="Times New Roman" w:cs="Times New Roman"/>
          <w:i/>
          <w:color w:val="181717"/>
          <w:vertAlign w:val="superscript"/>
        </w:rPr>
        <w:footnoteReference w:id="9"/>
      </w:r>
    </w:p>
    <w:p w14:paraId="7C09CC03" w14:textId="77777777" w:rsidR="006F1CFB" w:rsidRDefault="006F1CFB">
      <w:pPr>
        <w:shd w:val="clear" w:color="auto" w:fill="FFFFFF"/>
        <w:spacing w:line="276" w:lineRule="auto"/>
        <w:jc w:val="both"/>
        <w:rPr>
          <w:rFonts w:ascii="Times New Roman" w:eastAsia="Times New Roman" w:hAnsi="Times New Roman" w:cs="Times New Roman"/>
          <w:i/>
          <w:color w:val="181717"/>
        </w:rPr>
      </w:pPr>
    </w:p>
    <w:p w14:paraId="1EE47AC4"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rPr>
      </w:pPr>
      <w:r>
        <w:rPr>
          <w:rFonts w:ascii="Times New Roman" w:eastAsia="Times New Roman" w:hAnsi="Times New Roman" w:cs="Times New Roman"/>
          <w:i/>
          <w:color w:val="181717"/>
        </w:rPr>
        <w:t>Los Principios sobre IA cuentan con el respaldo de la Comisión Europea, cuyo grupo de expertos de alto nivel en la materia ha elaborado unas Directrices éticas para una IA fiable</w:t>
      </w:r>
    </w:p>
    <w:p w14:paraId="3E46656E" w14:textId="77777777" w:rsidR="006F1CFB" w:rsidRDefault="006F1CFB">
      <w:pPr>
        <w:shd w:val="clear" w:color="auto" w:fill="FFFFFF"/>
        <w:spacing w:line="276" w:lineRule="auto"/>
        <w:ind w:left="720"/>
        <w:jc w:val="both"/>
        <w:rPr>
          <w:rFonts w:ascii="Times New Roman" w:eastAsia="Times New Roman" w:hAnsi="Times New Roman" w:cs="Times New Roman"/>
          <w:i/>
          <w:color w:val="181717"/>
        </w:rPr>
      </w:pPr>
    </w:p>
    <w:p w14:paraId="2DADF797"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rPr>
      </w:pPr>
      <w:r>
        <w:rPr>
          <w:rFonts w:ascii="Times New Roman" w:eastAsia="Times New Roman" w:hAnsi="Times New Roman" w:cs="Times New Roman"/>
          <w:i/>
          <w:color w:val="181717"/>
        </w:rPr>
        <w:t>Sin ser jurídicamente vinculantes, los Principios de la OCDE en otros ámbitos de política se han revelado muy influyentes en el establecimiento de normas internacionales y como ayuda de la que se sirven los gobiernos para diseñar sus legislaciones nacionales. Por ejemplo, las Líneas Directrices de la OCDE sobre protección de la privacidad y los flujos transfronterizos de datos personales, que establecen límites a la recolección y el uso de datos personales, están en la raíz de numerosas leyes y marcos sobre protección de la privacidad de Estados Unidos, Europa y Asia. Los Principios de Gobierno Corporativo de la OCDE, avalados por el G-20, se han convertido en referencia internacional para los responsables de la formulación de políticas, inversores, empresas y otras partes interesadas que trabajan en marcos regulatorios e institucionales relacionados con el gobierno corporativo.</w:t>
      </w:r>
    </w:p>
    <w:p w14:paraId="06003267" w14:textId="77777777" w:rsidR="006F1CFB" w:rsidRDefault="006F1CFB">
      <w:pPr>
        <w:shd w:val="clear" w:color="auto" w:fill="FFFFFF"/>
        <w:spacing w:line="276" w:lineRule="auto"/>
        <w:jc w:val="both"/>
        <w:rPr>
          <w:rFonts w:ascii="Times New Roman" w:eastAsia="Times New Roman" w:hAnsi="Times New Roman" w:cs="Times New Roman"/>
          <w:i/>
          <w:color w:val="181717"/>
        </w:rPr>
      </w:pPr>
    </w:p>
    <w:p w14:paraId="509A4507" w14:textId="77777777" w:rsidR="006F1CFB" w:rsidRDefault="00CB299E">
      <w:pPr>
        <w:shd w:val="clear" w:color="auto" w:fill="FFFFFF"/>
        <w:spacing w:line="276" w:lineRule="auto"/>
        <w:jc w:val="both"/>
        <w:rPr>
          <w:rFonts w:ascii="Times New Roman" w:eastAsia="Times New Roman" w:hAnsi="Times New Roman" w:cs="Times New Roman"/>
          <w:color w:val="181717"/>
        </w:rPr>
      </w:pPr>
      <w:r>
        <w:rPr>
          <w:rFonts w:ascii="Times New Roman" w:eastAsia="Times New Roman" w:hAnsi="Times New Roman" w:cs="Times New Roman"/>
          <w:color w:val="181717"/>
        </w:rPr>
        <w:t>Y dentro de documento de</w:t>
      </w:r>
      <w:r>
        <w:rPr>
          <w:rFonts w:ascii="Times New Roman" w:eastAsia="Times New Roman" w:hAnsi="Times New Roman" w:cs="Times New Roman"/>
          <w:i/>
          <w:color w:val="181717"/>
        </w:rPr>
        <w:t xml:space="preserve"> “Recomendaciones del Consejo Inteligencia Artificial” </w:t>
      </w:r>
      <w:r>
        <w:rPr>
          <w:rFonts w:ascii="Times New Roman" w:eastAsia="Times New Roman" w:hAnsi="Times New Roman" w:cs="Times New Roman"/>
          <w:color w:val="181717"/>
        </w:rPr>
        <w:t>se mencionan los siguientes principios:</w:t>
      </w:r>
    </w:p>
    <w:p w14:paraId="4956EC71" w14:textId="77777777" w:rsidR="006F1CFB" w:rsidRDefault="006F1CFB">
      <w:pPr>
        <w:shd w:val="clear" w:color="auto" w:fill="FFFFFF"/>
        <w:spacing w:line="276" w:lineRule="auto"/>
        <w:jc w:val="both"/>
        <w:rPr>
          <w:rFonts w:ascii="Times New Roman" w:eastAsia="Times New Roman" w:hAnsi="Times New Roman" w:cs="Times New Roman"/>
          <w:i/>
          <w:color w:val="181717"/>
        </w:rPr>
      </w:pPr>
    </w:p>
    <w:p w14:paraId="26B98F28" w14:textId="77777777" w:rsidR="006F1CFB" w:rsidRDefault="00CB299E">
      <w:pPr>
        <w:numPr>
          <w:ilvl w:val="0"/>
          <w:numId w:val="2"/>
        </w:numPr>
        <w:shd w:val="clear" w:color="auto" w:fill="FFFFFF"/>
        <w:spacing w:line="276" w:lineRule="auto"/>
        <w:jc w:val="both"/>
        <w:rPr>
          <w:rFonts w:ascii="Roboto" w:eastAsia="Roboto" w:hAnsi="Roboto" w:cs="Roboto"/>
          <w:i/>
          <w:color w:val="0D0D0D"/>
        </w:rPr>
      </w:pPr>
      <w:r>
        <w:rPr>
          <w:rFonts w:ascii="Times New Roman" w:eastAsia="Times New Roman" w:hAnsi="Times New Roman" w:cs="Times New Roman"/>
          <w:b/>
          <w:i/>
          <w:color w:val="0D0D0D"/>
        </w:rPr>
        <w:t>Crecimiento inclusivo, desarrollo sostenible y bienestar:</w:t>
      </w:r>
      <w:r>
        <w:rPr>
          <w:rFonts w:ascii="Times New Roman" w:eastAsia="Times New Roman" w:hAnsi="Times New Roman" w:cs="Times New Roman"/>
          <w:i/>
          <w:color w:val="0D0D0D"/>
        </w:rPr>
        <w:t xml:space="preserve"> Los actores de la IA deben comprometerse con la gestión responsable de la IA en busca de resultados beneficiosos para las personas y el planeta, como aumentar las capacidades humanas, mejorar la creatividad, avanzar en la inclusión de poblaciones subrepresentadas, reducir desigualdades económicas, sociales, de género y otras, y proteger los entornos naturales.</w:t>
      </w:r>
    </w:p>
    <w:p w14:paraId="37B5BEC8" w14:textId="77777777" w:rsidR="006F1CFB" w:rsidRDefault="006F1CFB">
      <w:pPr>
        <w:shd w:val="clear" w:color="auto" w:fill="FFFFFF"/>
        <w:spacing w:line="276" w:lineRule="auto"/>
        <w:ind w:left="720"/>
        <w:jc w:val="both"/>
        <w:rPr>
          <w:rFonts w:ascii="Times New Roman" w:eastAsia="Times New Roman" w:hAnsi="Times New Roman" w:cs="Times New Roman"/>
          <w:i/>
          <w:color w:val="0D0D0D"/>
        </w:rPr>
      </w:pPr>
    </w:p>
    <w:p w14:paraId="5264E2E9" w14:textId="77777777" w:rsidR="006F1CFB" w:rsidRDefault="00CB299E">
      <w:pPr>
        <w:numPr>
          <w:ilvl w:val="0"/>
          <w:numId w:val="2"/>
        </w:numPr>
        <w:shd w:val="clear" w:color="auto" w:fill="FFFFFF"/>
        <w:spacing w:line="276" w:lineRule="auto"/>
        <w:jc w:val="both"/>
        <w:rPr>
          <w:rFonts w:ascii="Roboto" w:eastAsia="Roboto" w:hAnsi="Roboto" w:cs="Roboto"/>
          <w:i/>
          <w:color w:val="0D0D0D"/>
        </w:rPr>
      </w:pPr>
      <w:r>
        <w:rPr>
          <w:rFonts w:ascii="Times New Roman" w:eastAsia="Times New Roman" w:hAnsi="Times New Roman" w:cs="Times New Roman"/>
          <w:b/>
          <w:i/>
          <w:color w:val="0D0D0D"/>
        </w:rPr>
        <w:t>Valores centrados en el ser humano y equidad:</w:t>
      </w:r>
      <w:r>
        <w:rPr>
          <w:rFonts w:ascii="Times New Roman" w:eastAsia="Times New Roman" w:hAnsi="Times New Roman" w:cs="Times New Roman"/>
          <w:i/>
          <w:color w:val="0D0D0D"/>
        </w:rPr>
        <w:t xml:space="preserve"> Los actores de la IA deben respetar el estado de derecho, los derechos humanos y los valores democráticos a lo largo del ciclo de vida de los sistemas de IA. Esto incluye la libertad, la dignidad y la autonomía, la privacidad y la protección de datos, la no discriminación y la igualdad, la diversidad, la equidad, la justicia social y los derechos laborales reconocidos internacionalmente.</w:t>
      </w:r>
    </w:p>
    <w:p w14:paraId="0361DFD6" w14:textId="77777777" w:rsidR="006F1CFB" w:rsidRDefault="006F1CFB">
      <w:pPr>
        <w:shd w:val="clear" w:color="auto" w:fill="FFFFFF"/>
        <w:spacing w:line="276" w:lineRule="auto"/>
        <w:ind w:left="720"/>
        <w:jc w:val="both"/>
        <w:rPr>
          <w:rFonts w:ascii="Times New Roman" w:eastAsia="Times New Roman" w:hAnsi="Times New Roman" w:cs="Times New Roman"/>
          <w:i/>
          <w:color w:val="0D0D0D"/>
        </w:rPr>
      </w:pPr>
    </w:p>
    <w:p w14:paraId="5CD4CA64" w14:textId="77777777" w:rsidR="006F1CFB" w:rsidRDefault="00CB299E">
      <w:pPr>
        <w:numPr>
          <w:ilvl w:val="0"/>
          <w:numId w:val="2"/>
        </w:numPr>
        <w:shd w:val="clear" w:color="auto" w:fill="FFFFFF"/>
        <w:spacing w:line="276" w:lineRule="auto"/>
        <w:jc w:val="both"/>
        <w:rPr>
          <w:rFonts w:ascii="Roboto" w:eastAsia="Roboto" w:hAnsi="Roboto" w:cs="Roboto"/>
          <w:i/>
          <w:color w:val="0D0D0D"/>
        </w:rPr>
      </w:pPr>
      <w:r>
        <w:rPr>
          <w:rFonts w:ascii="Times New Roman" w:eastAsia="Times New Roman" w:hAnsi="Times New Roman" w:cs="Times New Roman"/>
          <w:b/>
          <w:i/>
          <w:color w:val="0D0D0D"/>
        </w:rPr>
        <w:t>Transparencia y explicabilidad:</w:t>
      </w:r>
      <w:r>
        <w:rPr>
          <w:rFonts w:ascii="Times New Roman" w:eastAsia="Times New Roman" w:hAnsi="Times New Roman" w:cs="Times New Roman"/>
          <w:i/>
          <w:color w:val="0D0D0D"/>
        </w:rPr>
        <w:t xml:space="preserve"> Los actores de la IA deben comprometerse con la transparencia y la divulgación responsable respecto a los sistemas de IA. Deben proporcionar información significativa, adecuada al contexto, que permita a las personas afectadas por un sistema de IA entender los resultados y, si se ven afectadas negativamente, impugnar estos resultados.</w:t>
      </w:r>
    </w:p>
    <w:p w14:paraId="6A653A43" w14:textId="77777777" w:rsidR="006F1CFB" w:rsidRDefault="006F1CFB">
      <w:pPr>
        <w:shd w:val="clear" w:color="auto" w:fill="FFFFFF"/>
        <w:spacing w:line="276" w:lineRule="auto"/>
        <w:ind w:left="720"/>
        <w:jc w:val="both"/>
        <w:rPr>
          <w:rFonts w:ascii="Times New Roman" w:eastAsia="Times New Roman" w:hAnsi="Times New Roman" w:cs="Times New Roman"/>
          <w:i/>
          <w:color w:val="0D0D0D"/>
        </w:rPr>
      </w:pPr>
    </w:p>
    <w:p w14:paraId="487917AC" w14:textId="77777777" w:rsidR="006F1CFB" w:rsidRDefault="00CB299E">
      <w:pPr>
        <w:numPr>
          <w:ilvl w:val="0"/>
          <w:numId w:val="2"/>
        </w:numPr>
        <w:shd w:val="clear" w:color="auto" w:fill="FFFFFF"/>
        <w:spacing w:line="276" w:lineRule="auto"/>
        <w:jc w:val="both"/>
        <w:rPr>
          <w:rFonts w:ascii="Roboto" w:eastAsia="Roboto" w:hAnsi="Roboto" w:cs="Roboto"/>
          <w:i/>
          <w:color w:val="0D0D0D"/>
        </w:rPr>
      </w:pPr>
      <w:r>
        <w:rPr>
          <w:rFonts w:ascii="Times New Roman" w:eastAsia="Times New Roman" w:hAnsi="Times New Roman" w:cs="Times New Roman"/>
          <w:b/>
          <w:i/>
          <w:color w:val="0D0D0D"/>
        </w:rPr>
        <w:t>Robustez, seguridad y seguridad:</w:t>
      </w:r>
      <w:r>
        <w:rPr>
          <w:rFonts w:ascii="Times New Roman" w:eastAsia="Times New Roman" w:hAnsi="Times New Roman" w:cs="Times New Roman"/>
          <w:i/>
          <w:color w:val="0D0D0D"/>
        </w:rPr>
        <w:t xml:space="preserve"> Los sistemas de IA deben ser robustos, seguros y seguros a lo largo de todo su ciclo de vida, funcionando de manera apropiada y sin presentar riesgos de seguridad irrazonables en condiciones de uso normal, uso previsible o mal uso, u otras condiciones adversas.</w:t>
      </w:r>
    </w:p>
    <w:p w14:paraId="688DFA92" w14:textId="77777777" w:rsidR="006F1CFB" w:rsidRDefault="00CB299E">
      <w:pPr>
        <w:numPr>
          <w:ilvl w:val="0"/>
          <w:numId w:val="7"/>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300" w:line="276" w:lineRule="auto"/>
        <w:rPr>
          <w:rFonts w:ascii="Times New Roman" w:eastAsia="Times New Roman" w:hAnsi="Times New Roman" w:cs="Times New Roman"/>
          <w:i/>
          <w:color w:val="0D0D0D"/>
        </w:rPr>
      </w:pPr>
      <w:r>
        <w:rPr>
          <w:rFonts w:ascii="Times New Roman" w:eastAsia="Times New Roman" w:hAnsi="Times New Roman" w:cs="Times New Roman"/>
          <w:i/>
          <w:color w:val="0D0D0D"/>
        </w:rPr>
        <w:t>Responsabilidad: Los actores de la IA deben ser responsables del correcto funcionamiento de los sistemas de IA y del respeto de los principios mencionados, basándose en sus roles, el contexto y de acuerdo con el estado del arte.</w:t>
      </w:r>
    </w:p>
    <w:p w14:paraId="29D2B21E" w14:textId="77777777" w:rsidR="006F1CFB" w:rsidRDefault="00CB299E">
      <w:pPr>
        <w:pBdr>
          <w:top w:val="none" w:sz="0" w:space="0" w:color="E3E3E3"/>
          <w:left w:val="none" w:sz="0" w:space="0" w:color="E3E3E3"/>
          <w:bottom w:val="none" w:sz="0" w:space="0" w:color="E3E3E3"/>
          <w:right w:val="none" w:sz="0" w:space="0" w:color="E3E3E3"/>
          <w:between w:val="none" w:sz="0" w:space="0" w:color="E3E3E3"/>
        </w:pBdr>
        <w:shd w:val="clear" w:color="auto" w:fill="FFFFFF"/>
        <w:spacing w:before="300" w:after="300" w:line="276" w:lineRule="auto"/>
        <w:ind w:left="720"/>
        <w:rPr>
          <w:rFonts w:ascii="Times New Roman" w:eastAsia="Times New Roman" w:hAnsi="Times New Roman" w:cs="Times New Roman"/>
          <w:b/>
          <w:color w:val="C30045"/>
          <w:sz w:val="18"/>
          <w:szCs w:val="18"/>
          <w:highlight w:val="white"/>
          <w:u w:val="single"/>
        </w:rPr>
      </w:pPr>
      <w:r>
        <w:rPr>
          <w:rFonts w:ascii="Times New Roman" w:eastAsia="Times New Roman" w:hAnsi="Times New Roman" w:cs="Times New Roman"/>
          <w:b/>
          <w:color w:val="181717"/>
          <w:highlight w:val="white"/>
        </w:rPr>
        <w:t xml:space="preserve">UNICEF: </w:t>
      </w:r>
      <w:r>
        <w:rPr>
          <w:rFonts w:ascii="Times New Roman" w:eastAsia="Times New Roman" w:hAnsi="Times New Roman" w:cs="Times New Roman"/>
          <w:b/>
          <w:color w:val="181717"/>
          <w:highlight w:val="white"/>
          <w:u w:val="single"/>
        </w:rPr>
        <w:t>5. Garantizar la seguridad de los niños</w:t>
      </w:r>
    </w:p>
    <w:p w14:paraId="13080523" w14:textId="77777777" w:rsidR="006F1CFB" w:rsidRDefault="00CB299E">
      <w:pPr>
        <w:shd w:val="clear" w:color="auto" w:fill="FFFFFF"/>
        <w:spacing w:line="276" w:lineRule="auto"/>
        <w:ind w:left="720"/>
        <w:jc w:val="both"/>
        <w:rPr>
          <w:rFonts w:ascii="Times New Roman" w:eastAsia="Times New Roman" w:hAnsi="Times New Roman" w:cs="Times New Roman"/>
          <w:i/>
          <w:color w:val="181717"/>
          <w:highlight w:val="white"/>
        </w:rPr>
      </w:pPr>
      <w:r>
        <w:rPr>
          <w:rFonts w:ascii="Times New Roman" w:eastAsia="Times New Roman" w:hAnsi="Times New Roman" w:cs="Times New Roman"/>
          <w:i/>
          <w:color w:val="181717"/>
          <w:highlight w:val="white"/>
        </w:rPr>
        <w:t xml:space="preserve">“Exigir que las políticas y estrategias de IA incorporen mecanismos para evaluar y monitorear de forma constante cómo dichos sistemas afectan a los niños. </w:t>
      </w:r>
    </w:p>
    <w:p w14:paraId="35B9DA32" w14:textId="77777777" w:rsidR="006F1CFB" w:rsidRDefault="006F1CFB">
      <w:pPr>
        <w:shd w:val="clear" w:color="auto" w:fill="FFFFFF"/>
        <w:spacing w:line="276" w:lineRule="auto"/>
        <w:ind w:left="720"/>
        <w:jc w:val="both"/>
        <w:rPr>
          <w:rFonts w:ascii="Times New Roman" w:eastAsia="Times New Roman" w:hAnsi="Times New Roman" w:cs="Times New Roman"/>
          <w:i/>
          <w:color w:val="181717"/>
          <w:highlight w:val="white"/>
        </w:rPr>
      </w:pPr>
    </w:p>
    <w:p w14:paraId="35F478C5" w14:textId="77777777" w:rsidR="006F1CFB" w:rsidRDefault="00CB299E">
      <w:pPr>
        <w:numPr>
          <w:ilvl w:val="0"/>
          <w:numId w:val="6"/>
        </w:numPr>
        <w:shd w:val="clear" w:color="auto" w:fill="FFFFFF"/>
        <w:spacing w:line="276" w:lineRule="auto"/>
        <w:ind w:left="1440"/>
        <w:jc w:val="both"/>
        <w:rPr>
          <w:rFonts w:ascii="Times New Roman" w:eastAsia="Times New Roman" w:hAnsi="Times New Roman" w:cs="Times New Roman"/>
          <w:i/>
          <w:color w:val="181717"/>
          <w:highlight w:val="white"/>
        </w:rPr>
      </w:pPr>
      <w:r>
        <w:rPr>
          <w:rFonts w:ascii="Times New Roman" w:eastAsia="Times New Roman" w:hAnsi="Times New Roman" w:cs="Times New Roman"/>
          <w:i/>
          <w:color w:val="181717"/>
          <w:highlight w:val="white"/>
        </w:rPr>
        <w:t xml:space="preserve">Evaluar y monitorear de forma constante cómo la IA afecta a los niños durante todo el ciclo de vida del desarrollo de esta. </w:t>
      </w:r>
    </w:p>
    <w:p w14:paraId="7EC9F7C7" w14:textId="77777777" w:rsidR="006F1CFB" w:rsidRDefault="00CB299E">
      <w:pPr>
        <w:numPr>
          <w:ilvl w:val="0"/>
          <w:numId w:val="6"/>
        </w:numPr>
        <w:shd w:val="clear" w:color="auto" w:fill="FFFFFF"/>
        <w:spacing w:line="276" w:lineRule="auto"/>
        <w:ind w:left="1440"/>
        <w:jc w:val="both"/>
        <w:rPr>
          <w:rFonts w:ascii="Times New Roman" w:eastAsia="Times New Roman" w:hAnsi="Times New Roman" w:cs="Times New Roman"/>
          <w:i/>
          <w:color w:val="181717"/>
          <w:highlight w:val="white"/>
        </w:rPr>
      </w:pPr>
      <w:r>
        <w:rPr>
          <w:rFonts w:ascii="Times New Roman" w:eastAsia="Times New Roman" w:hAnsi="Times New Roman" w:cs="Times New Roman"/>
          <w:i/>
          <w:color w:val="181717"/>
          <w:highlight w:val="white"/>
        </w:rPr>
        <w:t xml:space="preserve">Requerir pruebas que verifiquen la seguridad, protección y robustez de los sistemas de IA. </w:t>
      </w:r>
    </w:p>
    <w:p w14:paraId="253381CF" w14:textId="77777777" w:rsidR="006F1CFB" w:rsidRDefault="00CB299E">
      <w:pPr>
        <w:numPr>
          <w:ilvl w:val="0"/>
          <w:numId w:val="6"/>
        </w:numPr>
        <w:shd w:val="clear" w:color="auto" w:fill="FFFFFF"/>
        <w:spacing w:line="276" w:lineRule="auto"/>
        <w:ind w:left="1440"/>
        <w:jc w:val="both"/>
        <w:rPr>
          <w:rFonts w:ascii="Times New Roman" w:eastAsia="Times New Roman" w:hAnsi="Times New Roman" w:cs="Times New Roman"/>
          <w:i/>
          <w:color w:val="181717"/>
          <w:highlight w:val="white"/>
        </w:rPr>
      </w:pPr>
      <w:r>
        <w:rPr>
          <w:rFonts w:ascii="Times New Roman" w:eastAsia="Times New Roman" w:hAnsi="Times New Roman" w:cs="Times New Roman"/>
          <w:i/>
          <w:color w:val="181717"/>
          <w:highlight w:val="white"/>
        </w:rPr>
        <w:t>Aprovechar el uso de los sistemas de IA para promover la seguridad de los niños.”</w:t>
      </w:r>
    </w:p>
    <w:p w14:paraId="4407A70F" w14:textId="77777777" w:rsidR="006F1CFB" w:rsidRDefault="006F1CFB">
      <w:pPr>
        <w:shd w:val="clear" w:color="auto" w:fill="FFFFFF"/>
        <w:spacing w:line="276" w:lineRule="auto"/>
        <w:jc w:val="both"/>
        <w:rPr>
          <w:rFonts w:ascii="Times New Roman" w:eastAsia="Times New Roman" w:hAnsi="Times New Roman" w:cs="Times New Roman"/>
          <w:b/>
          <w:color w:val="181717"/>
          <w:highlight w:val="white"/>
          <w:u w:val="single"/>
        </w:rPr>
      </w:pPr>
    </w:p>
    <w:p w14:paraId="74A0C183" w14:textId="77777777" w:rsidR="006F1CFB" w:rsidRDefault="00CB299E">
      <w:pPr>
        <w:shd w:val="clear" w:color="auto" w:fill="FFFFFF"/>
        <w:spacing w:line="276" w:lineRule="auto"/>
        <w:ind w:left="720"/>
        <w:jc w:val="both"/>
        <w:rPr>
          <w:rFonts w:ascii="Times New Roman" w:eastAsia="Times New Roman" w:hAnsi="Times New Roman" w:cs="Times New Roman"/>
          <w:b/>
          <w:color w:val="181717"/>
          <w:u w:val="single"/>
        </w:rPr>
      </w:pPr>
      <w:r>
        <w:rPr>
          <w:rFonts w:ascii="Times New Roman" w:eastAsia="Times New Roman" w:hAnsi="Times New Roman" w:cs="Times New Roman"/>
          <w:b/>
          <w:color w:val="181717"/>
          <w:highlight w:val="white"/>
          <w:u w:val="single"/>
        </w:rPr>
        <w:t>Es</w:t>
      </w:r>
      <w:r>
        <w:rPr>
          <w:rFonts w:ascii="Times New Roman" w:eastAsia="Times New Roman" w:hAnsi="Times New Roman" w:cs="Times New Roman"/>
          <w:b/>
          <w:color w:val="181717"/>
          <w:u w:val="single"/>
        </w:rPr>
        <w:t>tudios de casos experimentales:</w:t>
      </w:r>
    </w:p>
    <w:p w14:paraId="562CC157" w14:textId="77777777" w:rsidR="006F1CFB" w:rsidRDefault="006F1CFB">
      <w:pPr>
        <w:shd w:val="clear" w:color="auto" w:fill="FFFFFF"/>
        <w:spacing w:line="276" w:lineRule="auto"/>
        <w:ind w:left="720"/>
        <w:jc w:val="both"/>
        <w:rPr>
          <w:rFonts w:ascii="Times New Roman" w:eastAsia="Times New Roman" w:hAnsi="Times New Roman" w:cs="Times New Roman"/>
          <w:b/>
          <w:color w:val="181717"/>
          <w:u w:val="single"/>
        </w:rPr>
      </w:pPr>
    </w:p>
    <w:p w14:paraId="0E01FF19" w14:textId="77777777" w:rsidR="006F1CFB" w:rsidRDefault="00CB299E">
      <w:pPr>
        <w:numPr>
          <w:ilvl w:val="0"/>
          <w:numId w:val="4"/>
        </w:numPr>
        <w:shd w:val="clear" w:color="auto" w:fill="FFFFFF"/>
        <w:spacing w:line="276" w:lineRule="auto"/>
        <w:jc w:val="both"/>
        <w:rPr>
          <w:rFonts w:ascii="Times New Roman" w:eastAsia="Times New Roman" w:hAnsi="Times New Roman" w:cs="Times New Roman"/>
          <w:i/>
          <w:color w:val="181717"/>
          <w:highlight w:val="white"/>
        </w:rPr>
      </w:pPr>
      <w:r>
        <w:rPr>
          <w:rFonts w:ascii="Times New Roman" w:eastAsia="Times New Roman" w:hAnsi="Times New Roman" w:cs="Times New Roman"/>
          <w:i/>
          <w:color w:val="181717"/>
          <w:highlight w:val="white"/>
        </w:rPr>
        <w:t>El sistema CrimeDetector ayuda a dar apoyo a niños y adolescentes que potencialmente han sufrido acoso en Internet. Cuando los niños denuncian incidentes, como el ciberacoso, el sistema analiza automáticamente el caso utilizando el procesamiento del lenguaje natural y prepara un “botiquín de primeros auxilios” para brindar asesoramiento jurídico y psicológico. SomeBuddy subraya que sus expertos jurídicos revisan minuciosamente los casos para evitar falsos positivos o falsos negativos. Esta empresa emergente demuestra cómo su sistema puede empoderar a los niños y protegerlos del acoso en línea con técnicas de inteligencia artificial, al tiempo que posibilita la seguridad y la facilidad de uso de su servicio digital para los niños mediante la supervisión humana del proceso”</w:t>
      </w:r>
      <w:r>
        <w:rPr>
          <w:rFonts w:ascii="Times New Roman" w:eastAsia="Times New Roman" w:hAnsi="Times New Roman" w:cs="Times New Roman"/>
          <w:i/>
          <w:color w:val="181717"/>
          <w:highlight w:val="white"/>
          <w:vertAlign w:val="superscript"/>
        </w:rPr>
        <w:footnoteReference w:id="10"/>
      </w:r>
    </w:p>
    <w:p w14:paraId="7DA42969" w14:textId="77777777" w:rsidR="006F1CFB" w:rsidRDefault="006F1CFB">
      <w:pPr>
        <w:shd w:val="clear" w:color="auto" w:fill="FFFFFF"/>
        <w:spacing w:line="276" w:lineRule="auto"/>
        <w:jc w:val="both"/>
        <w:rPr>
          <w:rFonts w:ascii="Times New Roman" w:eastAsia="Times New Roman" w:hAnsi="Times New Roman" w:cs="Times New Roman"/>
          <w:i/>
          <w:color w:val="181717"/>
          <w:highlight w:val="yellow"/>
        </w:rPr>
      </w:pPr>
    </w:p>
    <w:p w14:paraId="1DD59E5A" w14:textId="77777777" w:rsidR="006F1CFB" w:rsidRDefault="00CB299E">
      <w:pPr>
        <w:shd w:val="clear" w:color="auto" w:fill="FFFFFF"/>
        <w:spacing w:line="276" w:lineRule="auto"/>
        <w:ind w:left="720"/>
        <w:jc w:val="both"/>
        <w:rPr>
          <w:rFonts w:ascii="Times New Roman" w:eastAsia="Times New Roman" w:hAnsi="Times New Roman" w:cs="Times New Roman"/>
          <w:color w:val="181717"/>
        </w:rPr>
      </w:pPr>
      <w:r>
        <w:rPr>
          <w:rFonts w:ascii="Times New Roman" w:eastAsia="Times New Roman" w:hAnsi="Times New Roman" w:cs="Times New Roman"/>
          <w:b/>
          <w:color w:val="181717"/>
          <w:u w:val="single"/>
        </w:rPr>
        <w:t>GOOGLE:</w:t>
      </w:r>
      <w:r>
        <w:rPr>
          <w:rFonts w:ascii="Times New Roman" w:eastAsia="Times New Roman" w:hAnsi="Times New Roman" w:cs="Times New Roman"/>
          <w:b/>
          <w:color w:val="181717"/>
        </w:rPr>
        <w:t xml:space="preserve"> </w:t>
      </w:r>
      <w:r>
        <w:rPr>
          <w:rFonts w:ascii="Times New Roman" w:eastAsia="Times New Roman" w:hAnsi="Times New Roman" w:cs="Times New Roman"/>
          <w:color w:val="181717"/>
        </w:rPr>
        <w:t>Google cuenta con herramientas de IA para la identificación de casos de abuso sexual infantil , trabaja de manera articulada con agencias gubernamentales;  dentro del blog de la compañia se menciona como funciona su proceso:</w:t>
      </w:r>
    </w:p>
    <w:p w14:paraId="2728AA41" w14:textId="77777777" w:rsidR="006F1CFB" w:rsidRDefault="006F1CFB">
      <w:pPr>
        <w:shd w:val="clear" w:color="auto" w:fill="FFFFFF"/>
        <w:spacing w:line="276" w:lineRule="auto"/>
        <w:jc w:val="both"/>
        <w:rPr>
          <w:rFonts w:ascii="Times New Roman" w:eastAsia="Times New Roman" w:hAnsi="Times New Roman" w:cs="Times New Roman"/>
          <w:i/>
          <w:color w:val="181717"/>
        </w:rPr>
      </w:pPr>
    </w:p>
    <w:p w14:paraId="5E1844FF" w14:textId="77777777" w:rsidR="006F1CFB" w:rsidRDefault="00CB299E">
      <w:pPr>
        <w:shd w:val="clear" w:color="auto" w:fill="FFFFFF"/>
        <w:spacing w:line="276" w:lineRule="auto"/>
        <w:ind w:left="720"/>
        <w:jc w:val="both"/>
        <w:rPr>
          <w:rFonts w:ascii="Times New Roman" w:eastAsia="Times New Roman" w:hAnsi="Times New Roman" w:cs="Times New Roman"/>
          <w:b/>
          <w:color w:val="202124"/>
        </w:rPr>
      </w:pPr>
      <w:r>
        <w:rPr>
          <w:rFonts w:ascii="Times New Roman" w:eastAsia="Times New Roman" w:hAnsi="Times New Roman" w:cs="Times New Roman"/>
          <w:b/>
          <w:color w:val="202124"/>
        </w:rPr>
        <w:t xml:space="preserve">“Cómo detectamos el material de abuso sexual infantil </w:t>
      </w:r>
      <w:r>
        <w:rPr>
          <w:rFonts w:ascii="Times New Roman" w:eastAsia="Times New Roman" w:hAnsi="Times New Roman" w:cs="Times New Roman"/>
          <w:b/>
          <w:color w:val="202124"/>
          <w:vertAlign w:val="superscript"/>
        </w:rPr>
        <w:footnoteReference w:id="11"/>
      </w:r>
    </w:p>
    <w:p w14:paraId="641BCC1E" w14:textId="77777777" w:rsidR="006F1CFB" w:rsidRDefault="00CB299E">
      <w:pPr>
        <w:shd w:val="clear" w:color="auto" w:fill="FFFFFF"/>
        <w:spacing w:before="240" w:line="276" w:lineRule="auto"/>
        <w:ind w:left="720"/>
        <w:jc w:val="both"/>
        <w:rPr>
          <w:rFonts w:ascii="Times New Roman" w:eastAsia="Times New Roman" w:hAnsi="Times New Roman" w:cs="Times New Roman"/>
          <w:b/>
          <w:i/>
          <w:color w:val="202124"/>
        </w:rPr>
      </w:pPr>
      <w:r>
        <w:rPr>
          <w:rFonts w:ascii="Times New Roman" w:eastAsia="Times New Roman" w:hAnsi="Times New Roman" w:cs="Times New Roman"/>
          <w:color w:val="202124"/>
        </w:rPr>
        <w:t>Nos basamos en dos tecnologías igualmente importantes para ayudarnos a identificar de forma proactiva material de abuso sexual infantil: la coincidencia de hash y la inteligencia artificial (IA). También tenemos un equipo de revisores de contenido y expertos en la materia altamente especializados y formados que ayudan a asegurar que nuestra tecnología proporcione resultados precisos.</w:t>
      </w:r>
      <w:r>
        <w:rPr>
          <w:rFonts w:ascii="Times New Roman" w:eastAsia="Times New Roman" w:hAnsi="Times New Roman" w:cs="Times New Roman"/>
          <w:color w:val="202124"/>
        </w:rPr>
        <w:br/>
      </w:r>
      <w:r>
        <w:rPr>
          <w:rFonts w:ascii="Times New Roman" w:eastAsia="Times New Roman" w:hAnsi="Times New Roman" w:cs="Times New Roman"/>
          <w:i/>
          <w:color w:val="202124"/>
        </w:rPr>
        <w:br/>
        <w:t>Esta combinación nos permite detectar material de abuso sexual infantil en nuestras plataformas a gran escala con una proporción de falsos positivos extremadamente baja.</w:t>
      </w:r>
      <w:r>
        <w:rPr>
          <w:rFonts w:ascii="Times New Roman" w:eastAsia="Times New Roman" w:hAnsi="Times New Roman" w:cs="Times New Roman"/>
          <w:i/>
          <w:color w:val="202124"/>
        </w:rPr>
        <w:br/>
      </w:r>
      <w:r>
        <w:rPr>
          <w:rFonts w:ascii="Times New Roman" w:eastAsia="Times New Roman" w:hAnsi="Times New Roman" w:cs="Times New Roman"/>
          <w:i/>
          <w:color w:val="202124"/>
        </w:rPr>
        <w:br/>
      </w:r>
      <w:r>
        <w:rPr>
          <w:rFonts w:ascii="Times New Roman" w:eastAsia="Times New Roman" w:hAnsi="Times New Roman" w:cs="Times New Roman"/>
          <w:b/>
          <w:i/>
          <w:color w:val="202124"/>
        </w:rPr>
        <w:t>Cómo utilizamos la coincidencia de hash para identificar material de abuso sexual infantil conocido</w:t>
      </w:r>
    </w:p>
    <w:p w14:paraId="197280CE" w14:textId="77777777" w:rsidR="006F1CFB" w:rsidRDefault="00CB299E">
      <w:pPr>
        <w:shd w:val="clear" w:color="auto" w:fill="FFFFFF"/>
        <w:spacing w:before="240" w:line="276" w:lineRule="auto"/>
        <w:ind w:left="720"/>
        <w:jc w:val="both"/>
        <w:rPr>
          <w:rFonts w:ascii="Times New Roman" w:eastAsia="Times New Roman" w:hAnsi="Times New Roman" w:cs="Times New Roman"/>
          <w:i/>
          <w:color w:val="202124"/>
        </w:rPr>
      </w:pPr>
      <w:r>
        <w:rPr>
          <w:rFonts w:ascii="Times New Roman" w:eastAsia="Times New Roman" w:hAnsi="Times New Roman" w:cs="Times New Roman"/>
          <w:i/>
          <w:color w:val="202124"/>
        </w:rPr>
        <w:t>Nuestros sistemas marcan automáticamente mediante tecnología de coincidencia de hash el material de abuso sexual infantil identificado previamente. Esta tecnología asigna a las imágenes y vídeos una firma digital única (un "hash") y la compara con una base de datos de firmas conocidas. Si ambas coinciden, se considera que el contenido es el mismo o muy similar.</w:t>
      </w:r>
      <w:r>
        <w:rPr>
          <w:rFonts w:ascii="Times New Roman" w:eastAsia="Times New Roman" w:hAnsi="Times New Roman" w:cs="Times New Roman"/>
          <w:i/>
          <w:color w:val="202124"/>
        </w:rPr>
        <w:br/>
      </w:r>
      <w:r>
        <w:rPr>
          <w:rFonts w:ascii="Times New Roman" w:eastAsia="Times New Roman" w:hAnsi="Times New Roman" w:cs="Times New Roman"/>
          <w:i/>
          <w:color w:val="202124"/>
        </w:rPr>
        <w:br/>
        <w:t>El hash se obtiene de diversas fuentes de gran confianza, como la Internet Watch Foundation (IWF) y el National Center for Missing and Exploited Children (NCMEC). El NCMEC aloja un servicio de intercambio de hash que utilizan empresas tecnológicas y ONGs especializadas de todo el mundo. Este repositorio sirve como punto de partida, pero revisamos cada hash de supuesto material de abuso sexual infantil de forma independiente para confirmar su exactitud. Una vez que confirmamos que es material de abuso sexual infantil, lo introducimos en nuestros sistemas de detección.”</w:t>
      </w:r>
    </w:p>
    <w:p w14:paraId="58C41382" w14:textId="77777777" w:rsidR="006F1CFB" w:rsidRDefault="006F1CFB">
      <w:pPr>
        <w:shd w:val="clear" w:color="auto" w:fill="FFFFFF"/>
        <w:spacing w:line="276" w:lineRule="auto"/>
        <w:jc w:val="both"/>
        <w:rPr>
          <w:rFonts w:ascii="Times New Roman" w:eastAsia="Times New Roman" w:hAnsi="Times New Roman" w:cs="Times New Roman"/>
          <w:i/>
          <w:color w:val="181717"/>
        </w:rPr>
      </w:pPr>
    </w:p>
    <w:p w14:paraId="752D56AA" w14:textId="77777777" w:rsidR="006F1CFB" w:rsidRDefault="00555AE0">
      <w:pPr>
        <w:shd w:val="clear" w:color="auto" w:fill="FFFFFF"/>
        <w:spacing w:line="276" w:lineRule="auto"/>
        <w:ind w:left="720"/>
        <w:jc w:val="both"/>
        <w:rPr>
          <w:rFonts w:ascii="Times New Roman" w:eastAsia="Times New Roman" w:hAnsi="Times New Roman" w:cs="Times New Roman"/>
          <w:i/>
          <w:color w:val="181717"/>
        </w:rPr>
      </w:pPr>
      <w:hyperlink r:id="rId8">
        <w:r w:rsidR="00CB299E">
          <w:rPr>
            <w:rFonts w:ascii="Times New Roman" w:eastAsia="Times New Roman" w:hAnsi="Times New Roman" w:cs="Times New Roman"/>
            <w:i/>
            <w:color w:val="1155CC"/>
            <w:u w:val="single"/>
          </w:rPr>
          <w:t>https://www.ambitojuridico.com/noticias/analisis/tic/asi-van-los-proyectos-de-ley-sobre-inteligencia-artificial-en-colombia-en-la</w:t>
        </w:r>
      </w:hyperlink>
    </w:p>
    <w:p w14:paraId="67629BEF" w14:textId="77777777" w:rsidR="006F1CFB" w:rsidRDefault="006F1CFB">
      <w:pPr>
        <w:shd w:val="clear" w:color="auto" w:fill="FFFFFF"/>
        <w:spacing w:line="276" w:lineRule="auto"/>
        <w:ind w:left="720"/>
        <w:jc w:val="both"/>
        <w:rPr>
          <w:rFonts w:ascii="Times New Roman" w:eastAsia="Times New Roman" w:hAnsi="Times New Roman" w:cs="Times New Roman"/>
          <w:i/>
          <w:color w:val="181717"/>
          <w:highlight w:val="yellow"/>
        </w:rPr>
      </w:pPr>
    </w:p>
    <w:p w14:paraId="4D051A7B" w14:textId="77777777" w:rsidR="006F1CFB" w:rsidRDefault="00CB299E">
      <w:pPr>
        <w:shd w:val="clear" w:color="auto" w:fill="FFFFFF"/>
        <w:spacing w:line="276" w:lineRule="auto"/>
        <w:ind w:left="720"/>
        <w:jc w:val="both"/>
        <w:rPr>
          <w:rFonts w:ascii="Times New Roman" w:eastAsia="Times New Roman" w:hAnsi="Times New Roman" w:cs="Times New Roman"/>
          <w:i/>
          <w:color w:val="202124"/>
        </w:rPr>
      </w:pPr>
      <w:r>
        <w:rPr>
          <w:rFonts w:ascii="Times New Roman" w:eastAsia="Times New Roman" w:hAnsi="Times New Roman" w:cs="Times New Roman"/>
          <w:b/>
          <w:color w:val="181717"/>
        </w:rPr>
        <w:t>MICROSOFT: Proyecto Guacamaya: inteligencia artificial para preservar la Amazo</w:t>
      </w:r>
      <w:r>
        <w:rPr>
          <w:rFonts w:ascii="Times New Roman" w:eastAsia="Times New Roman" w:hAnsi="Times New Roman" w:cs="Times New Roman"/>
          <w:b/>
          <w:color w:val="181717"/>
          <w:highlight w:val="white"/>
        </w:rPr>
        <w:t>nía</w:t>
      </w:r>
      <w:r>
        <w:rPr>
          <w:rFonts w:ascii="Times New Roman" w:eastAsia="Times New Roman" w:hAnsi="Times New Roman" w:cs="Times New Roman"/>
          <w:color w:val="202124"/>
          <w:highlight w:val="white"/>
        </w:rPr>
        <w:t xml:space="preserve">: </w:t>
      </w:r>
      <w:r>
        <w:rPr>
          <w:rFonts w:ascii="Times New Roman" w:eastAsia="Times New Roman" w:hAnsi="Times New Roman" w:cs="Times New Roman"/>
          <w:i/>
          <w:color w:val="202124"/>
          <w:highlight w:val="white"/>
        </w:rPr>
        <w:t>El</w:t>
      </w:r>
      <w:r>
        <w:rPr>
          <w:rFonts w:ascii="Times New Roman" w:eastAsia="Times New Roman" w:hAnsi="Times New Roman" w:cs="Times New Roman"/>
          <w:i/>
          <w:color w:val="202124"/>
        </w:rPr>
        <w:t xml:space="preserve"> Proyecto Guacamaya representa una iniciativa pionera donde la inteligencia artificial (IA), respaldada por años de investigación científica, se emplea para proteger la Amazonía mediante el procesamiento de datos bioacústicos, imágenes de cámaras trampa y satelitales, lo que permite un monitoreo y análisis avanzado de la biodiversidad y la deforestación en la región. Mediante algoritmos desarrollados por la Universidad de Los Andes y Microsoft, el proyecto facilita la clasificación y procesamiento de grandes volúmenes de información, superando los obstáculos de datos dispersos y en formatos no interoperables, y logrando así que los investigadores procesen información cinco veces más rápido, identifiquen especies y detecten amenazas ambientales con mayor precisión y menor esfuerzo manual. Además, Guacamaya cuenta con un enfoque de código abierto que invita a centros de investigación, autoridades ambientales y científicos de todo el mundo a contribuir con datos, herramientas y conocimiento, con el objetivo de generar políticas públicas informadas y soluciones a los desafíos de conservación no solo en la Amazonía, sino en ecosistemas globales, integrando lo mejor de la IA en favor de la biodiversidad y la acción climática.</w:t>
      </w:r>
      <w:r>
        <w:rPr>
          <w:rFonts w:ascii="Times New Roman" w:eastAsia="Times New Roman" w:hAnsi="Times New Roman" w:cs="Times New Roman"/>
          <w:i/>
          <w:color w:val="202124"/>
          <w:vertAlign w:val="superscript"/>
        </w:rPr>
        <w:footnoteReference w:id="12"/>
      </w:r>
    </w:p>
    <w:p w14:paraId="57D5C7C9" w14:textId="77777777" w:rsidR="006F1CFB" w:rsidRDefault="006F1CFB">
      <w:pPr>
        <w:shd w:val="clear" w:color="auto" w:fill="FFFFFF"/>
        <w:spacing w:line="276" w:lineRule="auto"/>
        <w:ind w:left="720"/>
        <w:jc w:val="both"/>
        <w:rPr>
          <w:rFonts w:ascii="Times New Roman" w:eastAsia="Times New Roman" w:hAnsi="Times New Roman" w:cs="Times New Roman"/>
          <w:i/>
          <w:color w:val="202124"/>
        </w:rPr>
      </w:pPr>
    </w:p>
    <w:p w14:paraId="3F5E4176" w14:textId="77777777" w:rsidR="006F1CFB" w:rsidRDefault="00CB299E">
      <w:pPr>
        <w:shd w:val="clear" w:color="auto" w:fill="FFFFFF"/>
        <w:spacing w:before="280" w:after="28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highlight w:val="white"/>
        </w:rPr>
        <w:t>7. JUSTIFICACIÓN</w:t>
      </w:r>
    </w:p>
    <w:p w14:paraId="1E0224BC" w14:textId="77777777" w:rsidR="006F1CFB" w:rsidRDefault="00CB299E">
      <w:pPr>
        <w:shd w:val="clear" w:color="auto" w:fill="FFFFFF"/>
        <w:spacing w:before="240" w:after="240" w:line="276" w:lineRule="auto"/>
        <w:jc w:val="both"/>
        <w:rPr>
          <w:rFonts w:ascii="Times New Roman" w:eastAsia="Times New Roman" w:hAnsi="Times New Roman" w:cs="Times New Roman"/>
          <w:color w:val="00000A"/>
          <w:highlight w:val="white"/>
        </w:rPr>
      </w:pPr>
      <w:r>
        <w:rPr>
          <w:rFonts w:ascii="Times New Roman" w:eastAsia="Times New Roman" w:hAnsi="Times New Roman" w:cs="Times New Roman"/>
          <w:color w:val="00000A"/>
          <w:highlight w:val="white"/>
        </w:rPr>
        <w:t>El presente proyecto de acuerdo se fundamenta en una necesidad urgente y plenamente sustentada por las alarmantes cifras sobre violencia sexual contra niños, niñas y adolescentes en Bogotá, reflejadas en datos proporcionados por entidades oficiales como Educación, Policía y Medicina Legal.</w:t>
      </w:r>
    </w:p>
    <w:p w14:paraId="5348041B" w14:textId="77777777" w:rsidR="006F1CFB" w:rsidRDefault="00CB299E">
      <w:pPr>
        <w:shd w:val="clear" w:color="auto" w:fill="FFFFFF"/>
        <w:spacing w:before="240" w:after="240" w:line="276" w:lineRule="auto"/>
        <w:jc w:val="both"/>
        <w:rPr>
          <w:rFonts w:ascii="Times New Roman" w:eastAsia="Times New Roman" w:hAnsi="Times New Roman" w:cs="Times New Roman"/>
          <w:color w:val="00000A"/>
          <w:highlight w:val="white"/>
        </w:rPr>
      </w:pPr>
      <w:r>
        <w:rPr>
          <w:rFonts w:ascii="Times New Roman" w:eastAsia="Times New Roman" w:hAnsi="Times New Roman" w:cs="Times New Roman"/>
          <w:color w:val="00000A"/>
          <w:highlight w:val="white"/>
        </w:rPr>
        <w:t>Durante el último año, solo en Bogotá, Educación reportó 9.129 alertas tempranas relacionadas con posibles casos de abuso sexual infantil, promediando más de 25 casos diarios. Sin embargo, las cifras de la Policía Nacional reflejan que únicamente 4,829 de estos casos se convirtieron en denuncias formales, lo que representa aproximadamente la mitad de los casos alertados. Más preocupante aún, Medicina Legal registró apenas 2,962 casos atendidos o investigados, lo que evidencia una significativa brecha entre las alertas iniciales y la intervención institucional efectiva.</w:t>
      </w:r>
    </w:p>
    <w:p w14:paraId="0CD26869" w14:textId="77777777" w:rsidR="006F1CFB" w:rsidRDefault="00CB299E">
      <w:pPr>
        <w:shd w:val="clear" w:color="auto" w:fill="FFFFFF"/>
        <w:spacing w:before="240" w:after="240" w:line="276" w:lineRule="auto"/>
        <w:jc w:val="both"/>
        <w:rPr>
          <w:rFonts w:ascii="Times New Roman" w:eastAsia="Times New Roman" w:hAnsi="Times New Roman" w:cs="Times New Roman"/>
          <w:color w:val="00000A"/>
          <w:highlight w:val="white"/>
        </w:rPr>
      </w:pPr>
      <w:r>
        <w:rPr>
          <w:rFonts w:ascii="Times New Roman" w:eastAsia="Times New Roman" w:hAnsi="Times New Roman" w:cs="Times New Roman"/>
          <w:color w:val="00000A"/>
          <w:highlight w:val="white"/>
        </w:rPr>
        <w:t>Estos datos dejan en evidencia la existencia de una brecha considerable entre la detección temprana y la formalización e investigación efectiva de los casos. La situación refleja una urgente necesidad de mejorar la eficiencia en la prevención, detección temprana y seguimiento de casos, especialmente aprovechando tecnologías avanzadas como la Inteligencia Artificial.</w:t>
      </w:r>
    </w:p>
    <w:p w14:paraId="7EFC4D7F" w14:textId="77777777" w:rsidR="006F1CFB" w:rsidRDefault="00CB299E">
      <w:pPr>
        <w:shd w:val="clear" w:color="auto" w:fill="FFFFFF"/>
        <w:spacing w:before="240" w:after="240" w:line="276" w:lineRule="auto"/>
        <w:jc w:val="both"/>
        <w:rPr>
          <w:rFonts w:ascii="Times New Roman" w:eastAsia="Times New Roman" w:hAnsi="Times New Roman" w:cs="Times New Roman"/>
          <w:color w:val="00000A"/>
          <w:highlight w:val="white"/>
        </w:rPr>
      </w:pPr>
      <w:r>
        <w:rPr>
          <w:rFonts w:ascii="Times New Roman" w:eastAsia="Times New Roman" w:hAnsi="Times New Roman" w:cs="Times New Roman"/>
          <w:color w:val="00000A"/>
          <w:highlight w:val="white"/>
        </w:rPr>
        <w:t>El uso de herramientas de Inteligencia Artificial, tal como lo proponen estos lineamientos, permitirá una identificación temprana más precisa de patrones, tendencias y zonas críticas en la ciudad, facilitando una respuesta más ágil y efectiva por parte de las autoridades. La capacidad de la Inteligencia Artificial para analizar grandes volúmenes de información puede cerrar las brechas existentes entre la detección inicial y la denuncia formal e investigación, aumentando la eficacia de las acciones preventivas y reactivas.</w:t>
      </w:r>
    </w:p>
    <w:p w14:paraId="3035FAAC" w14:textId="77777777" w:rsidR="006F1CFB" w:rsidRDefault="00CB299E">
      <w:pPr>
        <w:shd w:val="clear" w:color="auto" w:fill="FFFFFF"/>
        <w:spacing w:before="240" w:after="240" w:line="276" w:lineRule="auto"/>
        <w:jc w:val="both"/>
        <w:rPr>
          <w:rFonts w:ascii="Times New Roman" w:eastAsia="Times New Roman" w:hAnsi="Times New Roman" w:cs="Times New Roman"/>
          <w:color w:val="00000A"/>
          <w:highlight w:val="white"/>
        </w:rPr>
      </w:pPr>
      <w:r>
        <w:rPr>
          <w:rFonts w:ascii="Times New Roman" w:eastAsia="Times New Roman" w:hAnsi="Times New Roman" w:cs="Times New Roman"/>
          <w:noProof/>
          <w:color w:val="00000A"/>
          <w:highlight w:val="white"/>
          <w:lang w:val="es-419" w:eastAsia="es-419"/>
        </w:rPr>
        <w:drawing>
          <wp:inline distT="114300" distB="114300" distL="114300" distR="114300" wp14:anchorId="3FBDF060" wp14:editId="74BB71A8">
            <wp:extent cx="5610225" cy="2358170"/>
            <wp:effectExtent l="0" t="0" r="0" b="0"/>
            <wp:docPr id="23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t="58108"/>
                    <a:stretch>
                      <a:fillRect/>
                    </a:stretch>
                  </pic:blipFill>
                  <pic:spPr>
                    <a:xfrm>
                      <a:off x="0" y="0"/>
                      <a:ext cx="5610225" cy="2358170"/>
                    </a:xfrm>
                    <a:prstGeom prst="rect">
                      <a:avLst/>
                    </a:prstGeom>
                    <a:ln/>
                  </pic:spPr>
                </pic:pic>
              </a:graphicData>
            </a:graphic>
          </wp:inline>
        </w:drawing>
      </w:r>
    </w:p>
    <w:p w14:paraId="21DE63CA" w14:textId="77777777" w:rsidR="006F1CFB" w:rsidRDefault="00CB299E">
      <w:pPr>
        <w:shd w:val="clear" w:color="auto" w:fill="FFFFFF"/>
        <w:spacing w:before="240"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Fuente: Elaboración propia con información de la Policía Nacional, Secretaría Distrital de Educación , Medicina Legal año 2024</w:t>
      </w:r>
    </w:p>
    <w:p w14:paraId="6BA704E9" w14:textId="77777777" w:rsidR="006F1CFB" w:rsidRDefault="00CB299E">
      <w:pPr>
        <w:shd w:val="clear" w:color="auto" w:fill="FFFFFF"/>
        <w:spacing w:before="240" w:after="240" w:line="276" w:lineRule="auto"/>
        <w:jc w:val="both"/>
        <w:rPr>
          <w:rFonts w:ascii="Times New Roman" w:eastAsia="Times New Roman" w:hAnsi="Times New Roman" w:cs="Times New Roman"/>
          <w:color w:val="00000A"/>
          <w:highlight w:val="white"/>
        </w:rPr>
      </w:pPr>
      <w:r>
        <w:rPr>
          <w:rFonts w:ascii="Times New Roman" w:eastAsia="Times New Roman" w:hAnsi="Times New Roman" w:cs="Times New Roman"/>
          <w:color w:val="00000A"/>
          <w:highlight w:val="white"/>
        </w:rPr>
        <w:t>Este proyecto se alinea, además, con las disposiciones nacionales e internacionales en materia de transformación digital, ética en el uso de datos personales, y derechos de la niñez consagrados en la Constitución Política, la legislación nacional, el Plan Nacional de Desarrollo, y las recomendaciones de organismos internacionales como la OCDE y UNICEF. En particular, este proyecto contribuye directamente a garantizar el cumplimiento del derecho fundamental de protección integral a niños, niñas y adolescentes frente a la violencia sexual, generando un entorno digital más seguro y promoviendo mecanismos claros y efectivos para el seguimiento, reporte y prevención de delitos sexuales.</w:t>
      </w:r>
    </w:p>
    <w:p w14:paraId="01745842" w14:textId="77777777" w:rsidR="006F1CFB" w:rsidRDefault="00CB299E">
      <w:pPr>
        <w:shd w:val="clear" w:color="auto" w:fill="FFFFFF"/>
        <w:spacing w:before="240"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Además la Explotación Sexual Comercial de Niñas, Niños y Adolescentes (ESCNNA) es un problema de creciente gravedad en el Distrito Capital y en todo el país. Sin embargo, uno de los principales obstáculos en su abordaje es la falta de cifras unificadas y de un sistema eficiente de detección y prevención temprana, lo que limita la capacidad de las entidades distritales para articular estrategias efectivas.</w:t>
      </w:r>
    </w:p>
    <w:p w14:paraId="676A87F5" w14:textId="77777777" w:rsidR="006F1CFB" w:rsidRDefault="00CB299E">
      <w:pPr>
        <w:shd w:val="clear" w:color="auto" w:fill="FFFFFF"/>
        <w:spacing w:before="240"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Dado este vacío en la información, el presente proyecto se fundamenta en la revisión de los datos más completos disponibles hasta la fecha, proporcionados por la Policía Nacional de Colombia sobre delitos sexuales, con base en el Código Penal Colombiano (Ley 599 de 2000 y sus modificaciones), en particular los artículos que regulan específicamente los delitos de explotación sexual</w:t>
      </w:r>
      <w:r>
        <w:rPr>
          <w:rFonts w:ascii="Times New Roman" w:eastAsia="Times New Roman" w:hAnsi="Times New Roman" w:cs="Times New Roman"/>
          <w:i/>
          <w:color w:val="202124"/>
          <w:highlight w:val="white"/>
          <w:vertAlign w:val="superscript"/>
        </w:rPr>
        <w:footnoteReference w:id="13"/>
      </w:r>
      <w:r>
        <w:rPr>
          <w:rFonts w:ascii="Times New Roman" w:eastAsia="Times New Roman" w:hAnsi="Times New Roman" w:cs="Times New Roman"/>
          <w:color w:val="181717"/>
          <w:highlight w:val="white"/>
        </w:rPr>
        <w:t>:</w:t>
      </w:r>
    </w:p>
    <w:p w14:paraId="7CEEB3BE" w14:textId="77777777" w:rsidR="006F1CFB" w:rsidRDefault="00CB299E">
      <w:pPr>
        <w:numPr>
          <w:ilvl w:val="0"/>
          <w:numId w:val="3"/>
        </w:numPr>
        <w:pBdr>
          <w:top w:val="nil"/>
          <w:left w:val="nil"/>
          <w:bottom w:val="nil"/>
          <w:right w:val="nil"/>
          <w:between w:val="nil"/>
        </w:pBdr>
        <w:shd w:val="clear" w:color="auto" w:fill="FFFFFF"/>
        <w:spacing w:before="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213. Inducción a la prostitución.</w:t>
      </w:r>
    </w:p>
    <w:p w14:paraId="6C728159" w14:textId="77777777" w:rsidR="006F1CFB" w:rsidRDefault="00CB299E">
      <w:pPr>
        <w:numPr>
          <w:ilvl w:val="0"/>
          <w:numId w:val="3"/>
        </w:numPr>
        <w:pBdr>
          <w:top w:val="nil"/>
          <w:left w:val="nil"/>
          <w:bottom w:val="nil"/>
          <w:right w:val="nil"/>
          <w:between w:val="nil"/>
        </w:pBdr>
        <w:shd w:val="clear" w:color="auto" w:fill="FFFFFF"/>
        <w:spacing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213A. Proxenetismo con menor de edad.</w:t>
      </w:r>
    </w:p>
    <w:p w14:paraId="7FD920CC" w14:textId="77777777" w:rsidR="006F1CFB" w:rsidRDefault="00CB299E">
      <w:pPr>
        <w:numPr>
          <w:ilvl w:val="0"/>
          <w:numId w:val="3"/>
        </w:numPr>
        <w:pBdr>
          <w:top w:val="nil"/>
          <w:left w:val="nil"/>
          <w:bottom w:val="nil"/>
          <w:right w:val="nil"/>
          <w:between w:val="nil"/>
        </w:pBdr>
        <w:shd w:val="clear" w:color="auto" w:fill="FFFFFF"/>
        <w:spacing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214. Constreñimiento a la prostitución.</w:t>
      </w:r>
    </w:p>
    <w:p w14:paraId="47CC40D9" w14:textId="77777777" w:rsidR="006F1CFB" w:rsidRDefault="00CB299E">
      <w:pPr>
        <w:numPr>
          <w:ilvl w:val="0"/>
          <w:numId w:val="3"/>
        </w:numPr>
        <w:pBdr>
          <w:top w:val="nil"/>
          <w:left w:val="nil"/>
          <w:bottom w:val="nil"/>
          <w:right w:val="nil"/>
          <w:between w:val="nil"/>
        </w:pBdr>
        <w:shd w:val="clear" w:color="auto" w:fill="FFFFFF"/>
        <w:spacing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215. Trata de personas.</w:t>
      </w:r>
    </w:p>
    <w:p w14:paraId="01E09FB9" w14:textId="77777777" w:rsidR="006F1CFB" w:rsidRDefault="00CB299E">
      <w:pPr>
        <w:numPr>
          <w:ilvl w:val="0"/>
          <w:numId w:val="3"/>
        </w:numPr>
        <w:pBdr>
          <w:top w:val="nil"/>
          <w:left w:val="nil"/>
          <w:bottom w:val="nil"/>
          <w:right w:val="nil"/>
          <w:between w:val="nil"/>
        </w:pBdr>
        <w:shd w:val="clear" w:color="auto" w:fill="FFFFFF"/>
        <w:spacing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217. Estímulo a la prostitución de menores.</w:t>
      </w:r>
    </w:p>
    <w:p w14:paraId="215C3C59" w14:textId="77777777" w:rsidR="006F1CFB" w:rsidRDefault="00CB299E">
      <w:pPr>
        <w:numPr>
          <w:ilvl w:val="0"/>
          <w:numId w:val="3"/>
        </w:numPr>
        <w:pBdr>
          <w:top w:val="nil"/>
          <w:left w:val="nil"/>
          <w:bottom w:val="nil"/>
          <w:right w:val="nil"/>
          <w:between w:val="nil"/>
        </w:pBdr>
        <w:shd w:val="clear" w:color="auto" w:fill="FFFFFF"/>
        <w:spacing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217A. Demanda de explotación sexual comercial de persona menor de 18 años.</w:t>
      </w:r>
    </w:p>
    <w:p w14:paraId="6A83E864" w14:textId="77777777" w:rsidR="006F1CFB" w:rsidRDefault="00CB299E">
      <w:pPr>
        <w:numPr>
          <w:ilvl w:val="0"/>
          <w:numId w:val="3"/>
        </w:numPr>
        <w:pBdr>
          <w:top w:val="nil"/>
          <w:left w:val="nil"/>
          <w:bottom w:val="nil"/>
          <w:right w:val="nil"/>
          <w:between w:val="nil"/>
        </w:pBdr>
        <w:shd w:val="clear" w:color="auto" w:fill="FFFFFF"/>
        <w:spacing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218. Pornografía con menores.</w:t>
      </w:r>
    </w:p>
    <w:p w14:paraId="61772ECD" w14:textId="77777777" w:rsidR="006F1CFB" w:rsidRDefault="00CB299E">
      <w:pPr>
        <w:numPr>
          <w:ilvl w:val="0"/>
          <w:numId w:val="3"/>
        </w:numPr>
        <w:pBdr>
          <w:top w:val="nil"/>
          <w:left w:val="nil"/>
          <w:bottom w:val="nil"/>
          <w:right w:val="nil"/>
          <w:between w:val="nil"/>
        </w:pBdr>
        <w:shd w:val="clear" w:color="auto" w:fill="FFFFFF"/>
        <w:spacing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219. Turismo sexual.</w:t>
      </w:r>
    </w:p>
    <w:p w14:paraId="344B4C95" w14:textId="77777777" w:rsidR="006F1CFB" w:rsidRDefault="00CB299E">
      <w:pPr>
        <w:numPr>
          <w:ilvl w:val="0"/>
          <w:numId w:val="3"/>
        </w:numPr>
        <w:pBdr>
          <w:top w:val="nil"/>
          <w:left w:val="nil"/>
          <w:bottom w:val="nil"/>
          <w:right w:val="nil"/>
          <w:between w:val="nil"/>
        </w:pBdr>
        <w:shd w:val="clear" w:color="auto" w:fill="FFFFFF"/>
        <w:spacing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219A. Utilización o facilitación de medios de comunicación para ofrecer servicios sexuales de menores.</w:t>
      </w:r>
    </w:p>
    <w:p w14:paraId="47C5CF5D" w14:textId="77777777" w:rsidR="006F1CFB" w:rsidRDefault="00CB299E">
      <w:pPr>
        <w:shd w:val="clear" w:color="auto" w:fill="FFFFFF"/>
        <w:spacing w:before="240"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El análisis de estas cifras no solo evidencia la gravedad del problema, sino también la necesidad de contar con herramientas tecnológicas avanzadas, como la Inteligencia Artificial (IA), para la identificación temprana, análisis y prevención de estos delitos en el entorno digital.</w:t>
      </w:r>
    </w:p>
    <w:p w14:paraId="0AB0F775" w14:textId="77777777" w:rsidR="006F1CFB" w:rsidRDefault="00CB299E">
      <w:pPr>
        <w:shd w:val="clear" w:color="auto" w:fill="FFFFFF"/>
        <w:spacing w:before="240" w:after="24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color w:val="181717"/>
          <w:highlight w:val="white"/>
        </w:rPr>
        <w:t xml:space="preserve">En primer lugar, el análisis de las cifras de la Explotación Sexual Comercial de Niñas, Niños y Adolescentes (ESCNNA) en los últimos cinco años revela que en 2024 se registra un alarmante incremento del 98%, alcanzando 365 casos en el año. Este aumento refleja un preocupante deterioro en la prevención y control de este delito, lo que equivale a un caso por día en 2024.  Si bien en 2025 la cifra reportada en ENERO es de 11 casos, recordemos que en enero del 2024 se reportaron 19, lo que implica que debemos estar atentos y tomar acciones. </w:t>
      </w:r>
      <w:r>
        <w:rPr>
          <w:rFonts w:ascii="Times New Roman" w:eastAsia="Times New Roman" w:hAnsi="Times New Roman" w:cs="Times New Roman"/>
          <w:b/>
          <w:color w:val="00000A"/>
          <w:highlight w:val="white"/>
        </w:rPr>
        <w:t xml:space="preserve"> </w:t>
      </w:r>
    </w:p>
    <w:p w14:paraId="421200B8" w14:textId="77777777" w:rsidR="006F1CFB" w:rsidRDefault="00CB299E">
      <w:pPr>
        <w:shd w:val="clear" w:color="auto" w:fill="FFFFFF"/>
        <w:spacing w:before="240" w:after="24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highlight w:val="white"/>
        </w:rPr>
        <w:t xml:space="preserve"> </w:t>
      </w:r>
    </w:p>
    <w:p w14:paraId="47B27C0B" w14:textId="77777777" w:rsidR="006F1CFB" w:rsidRDefault="00CB299E">
      <w:pPr>
        <w:shd w:val="clear" w:color="auto" w:fill="FFFFFF"/>
        <w:spacing w:before="240" w:after="240" w:line="276" w:lineRule="auto"/>
        <w:jc w:val="center"/>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highlight w:val="white"/>
        </w:rPr>
        <w:t>Gráfica 1. Delitos de ESCNNA en los últimos 5 años</w:t>
      </w:r>
    </w:p>
    <w:p w14:paraId="254D8CBC" w14:textId="77777777" w:rsidR="006F1CFB" w:rsidRDefault="00CB299E">
      <w:pPr>
        <w:shd w:val="clear" w:color="auto" w:fill="FFFFFF"/>
        <w:spacing w:before="240" w:after="240" w:line="276" w:lineRule="auto"/>
        <w:jc w:val="center"/>
        <w:rPr>
          <w:rFonts w:ascii="Times New Roman" w:eastAsia="Times New Roman" w:hAnsi="Times New Roman" w:cs="Times New Roman"/>
          <w:b/>
          <w:color w:val="00000A"/>
          <w:highlight w:val="white"/>
        </w:rPr>
      </w:pPr>
      <w:r>
        <w:rPr>
          <w:rFonts w:ascii="Times New Roman" w:eastAsia="Times New Roman" w:hAnsi="Times New Roman" w:cs="Times New Roman"/>
          <w:b/>
          <w:noProof/>
          <w:color w:val="00000A"/>
          <w:highlight w:val="white"/>
          <w:lang w:val="es-419" w:eastAsia="es-419"/>
        </w:rPr>
        <w:drawing>
          <wp:inline distT="114300" distB="114300" distL="114300" distR="114300" wp14:anchorId="5604319E" wp14:editId="79F05057">
            <wp:extent cx="3721100" cy="2336800"/>
            <wp:effectExtent l="0" t="0" r="0" b="0"/>
            <wp:docPr id="2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3721100" cy="2336800"/>
                    </a:xfrm>
                    <a:prstGeom prst="rect">
                      <a:avLst/>
                    </a:prstGeom>
                    <a:ln/>
                  </pic:spPr>
                </pic:pic>
              </a:graphicData>
            </a:graphic>
          </wp:inline>
        </w:drawing>
      </w:r>
    </w:p>
    <w:p w14:paraId="2B1CE0DD" w14:textId="77777777" w:rsidR="006F1CFB" w:rsidRDefault="00CB299E">
      <w:pPr>
        <w:shd w:val="clear" w:color="auto" w:fill="FFFFFF"/>
        <w:spacing w:before="240" w:after="24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color w:val="181717"/>
          <w:highlight w:val="white"/>
        </w:rPr>
        <w:t>Fuente: Elaboración propia con información de la Policía Nacional de Colombia - Estadística delictiva</w:t>
      </w:r>
    </w:p>
    <w:p w14:paraId="0DEB4C97" w14:textId="77777777" w:rsidR="006F1CFB" w:rsidRDefault="00CB299E">
      <w:pPr>
        <w:shd w:val="clear" w:color="auto" w:fill="FFFFFF"/>
        <w:spacing w:before="240"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Adicionalmente en el análisis de los datos reportados por la Policía las niñas son las principales víctimas en 2024, ya que el 82% de ESCNNA fueron de género femenino, mientras que el 18% corresponde a víctimas masculinas. Este dato pone en evidencia la vulnerabilidad de las niñas y adolescentes frente a estos delitos, por lo cual las acciones deben ser centradas en las poblaciones de mayor riesgo.</w:t>
      </w:r>
    </w:p>
    <w:p w14:paraId="16E5E937" w14:textId="77777777" w:rsidR="006F1CFB" w:rsidRDefault="00CB299E">
      <w:pPr>
        <w:shd w:val="clear" w:color="auto" w:fill="FFFFFF"/>
        <w:spacing w:before="240" w:after="24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color w:val="181717"/>
          <w:highlight w:val="white"/>
        </w:rPr>
        <w:t>El análisis de los datos de la Policía Nacional también reveló que LA PORNOGRAFÍA es el delito más cometido dado que corresponde al  89% de ESCNNA en el año 2024, mientras que el 11% restante corresponde a otras formas de explotación sexual. Este alarmante porcentaje muestra cómo la producción, distribución y consumo de material pornográfico con menores de edad se ha convertido en la principal forma de explotación sexual infantil y adolescente en el Distrito.</w:t>
      </w:r>
      <w:r>
        <w:rPr>
          <w:rFonts w:ascii="Times New Roman" w:eastAsia="Times New Roman" w:hAnsi="Times New Roman" w:cs="Times New Roman"/>
          <w:b/>
          <w:color w:val="00000A"/>
          <w:highlight w:val="white"/>
        </w:rPr>
        <w:t xml:space="preserve"> </w:t>
      </w:r>
    </w:p>
    <w:p w14:paraId="0D30AAD7" w14:textId="77777777" w:rsidR="006F1CFB" w:rsidRDefault="00CB299E">
      <w:pPr>
        <w:shd w:val="clear" w:color="auto" w:fill="FFFFFF"/>
        <w:spacing w:before="240" w:after="240" w:line="276" w:lineRule="auto"/>
        <w:jc w:val="center"/>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highlight w:val="white"/>
        </w:rPr>
        <w:t xml:space="preserve"> Gráfica 2. Distribución por tipo de Delitos de ESCNNA en 2024</w:t>
      </w:r>
    </w:p>
    <w:p w14:paraId="1F16B500" w14:textId="77777777" w:rsidR="006F1CFB" w:rsidRDefault="00CB299E">
      <w:pPr>
        <w:shd w:val="clear" w:color="auto" w:fill="FFFFFF"/>
        <w:spacing w:before="240" w:after="240" w:line="276" w:lineRule="auto"/>
        <w:jc w:val="center"/>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highlight w:val="white"/>
        </w:rPr>
        <w:t xml:space="preserve"> </w:t>
      </w:r>
      <w:r>
        <w:rPr>
          <w:rFonts w:ascii="Times New Roman" w:eastAsia="Times New Roman" w:hAnsi="Times New Roman" w:cs="Times New Roman"/>
          <w:b/>
          <w:noProof/>
          <w:color w:val="00000A"/>
          <w:highlight w:val="white"/>
          <w:lang w:val="es-419" w:eastAsia="es-419"/>
        </w:rPr>
        <w:drawing>
          <wp:inline distT="114300" distB="114300" distL="114300" distR="114300" wp14:anchorId="1347008F" wp14:editId="25ED3775">
            <wp:extent cx="3111500" cy="3340100"/>
            <wp:effectExtent l="0" t="0" r="0" b="0"/>
            <wp:docPr id="230" name="image3.png" descr="Gráfico, Gráfico circular&#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3.png" descr="Gráfico, Gráfico circular&#10;&#10;El contenido generado por IA puede ser incorrecto."/>
                    <pic:cNvPicPr preferRelativeResize="0"/>
                  </pic:nvPicPr>
                  <pic:blipFill>
                    <a:blip r:embed="rId11"/>
                    <a:srcRect/>
                    <a:stretch>
                      <a:fillRect/>
                    </a:stretch>
                  </pic:blipFill>
                  <pic:spPr>
                    <a:xfrm>
                      <a:off x="0" y="0"/>
                      <a:ext cx="3111500" cy="3340100"/>
                    </a:xfrm>
                    <a:prstGeom prst="rect">
                      <a:avLst/>
                    </a:prstGeom>
                    <a:ln/>
                  </pic:spPr>
                </pic:pic>
              </a:graphicData>
            </a:graphic>
          </wp:inline>
        </w:drawing>
      </w:r>
    </w:p>
    <w:p w14:paraId="452A91FF" w14:textId="77777777" w:rsidR="006F1CFB" w:rsidRDefault="00CB299E">
      <w:pPr>
        <w:shd w:val="clear" w:color="auto" w:fill="FFFFFF"/>
        <w:spacing w:before="240" w:after="24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color w:val="181717"/>
          <w:highlight w:val="white"/>
        </w:rPr>
        <w:t>Fuente: Elaboración propia con información de la Policía Nacional de Colombia - Estadística delictiva</w:t>
      </w:r>
    </w:p>
    <w:p w14:paraId="0D2FCB0B" w14:textId="77777777" w:rsidR="006F1CFB" w:rsidRDefault="00CB299E">
      <w:pPr>
        <w:shd w:val="clear" w:color="auto" w:fill="FFFFFF"/>
        <w:spacing w:before="240"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Este dato confirma que el entorno digital se ha convertido en el principal facilitador de la explotación sexual infantil y adolecente, debido a la facilidad con la que el contenido puede difundirse a través de plataformas digitales, redes sociales y aplicaciones de mensajería.</w:t>
      </w:r>
    </w:p>
    <w:p w14:paraId="7D8D0B95" w14:textId="77777777" w:rsidR="006F1CFB" w:rsidRDefault="00CB299E">
      <w:pPr>
        <w:shd w:val="clear" w:color="auto" w:fill="FFFFFF"/>
        <w:spacing w:before="240" w:after="24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color w:val="181717"/>
          <w:highlight w:val="white"/>
        </w:rPr>
        <w:t>La pornografía en NNA según las cifras de la policía ha tenido un alarmante crecimiento del 109% durante el 2024, en comparación con el año anterior. Se registraron 324 casos en 2024, lo que equivale a aproximadamente un caso por día. Este aumento rompe la tendencia de los años anteriores, donde los casos fluctuaron entre 173 y 207 entre 2020 y 2022, y descendieron a 155 en 2023. Sin embargo, el incremento exponencial en 2024 evidencia que este delito está expandiéndose rápidamente, especialmente a través de plataformas digitales.</w:t>
      </w:r>
      <w:r>
        <w:rPr>
          <w:rFonts w:ascii="Times New Roman" w:eastAsia="Times New Roman" w:hAnsi="Times New Roman" w:cs="Times New Roman"/>
          <w:b/>
          <w:color w:val="00000A"/>
          <w:highlight w:val="white"/>
        </w:rPr>
        <w:t xml:space="preserve"> </w:t>
      </w:r>
    </w:p>
    <w:p w14:paraId="270241E0" w14:textId="77777777" w:rsidR="006F1CFB" w:rsidRDefault="00CB299E">
      <w:pPr>
        <w:shd w:val="clear" w:color="auto" w:fill="FFFFFF"/>
        <w:spacing w:before="240" w:after="240" w:line="276" w:lineRule="auto"/>
        <w:jc w:val="center"/>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highlight w:val="white"/>
        </w:rPr>
        <w:t>Gráfica 3. Pornografía en NNA en los últimos 5 años</w:t>
      </w:r>
    </w:p>
    <w:p w14:paraId="1CA5F3B0" w14:textId="77777777" w:rsidR="006F1CFB" w:rsidRDefault="00CB299E">
      <w:pPr>
        <w:shd w:val="clear" w:color="auto" w:fill="FFFFFF"/>
        <w:spacing w:before="240" w:after="240" w:line="276" w:lineRule="auto"/>
        <w:jc w:val="center"/>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highlight w:val="white"/>
        </w:rPr>
        <w:t xml:space="preserve"> </w:t>
      </w:r>
      <w:r>
        <w:rPr>
          <w:rFonts w:ascii="Times New Roman" w:eastAsia="Times New Roman" w:hAnsi="Times New Roman" w:cs="Times New Roman"/>
          <w:b/>
          <w:noProof/>
          <w:color w:val="00000A"/>
          <w:highlight w:val="white"/>
          <w:lang w:val="es-419" w:eastAsia="es-419"/>
        </w:rPr>
        <w:drawing>
          <wp:inline distT="114300" distB="114300" distL="114300" distR="114300" wp14:anchorId="18753E40" wp14:editId="64E1E04F">
            <wp:extent cx="4102100" cy="2540000"/>
            <wp:effectExtent l="0" t="0" r="0" b="0"/>
            <wp:docPr id="234" name="image4.png" descr="Gráfico, Gráfico de barras&#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4.png" descr="Gráfico, Gráfico de barras&#10;&#10;El contenido generado por IA puede ser incorrecto."/>
                    <pic:cNvPicPr preferRelativeResize="0"/>
                  </pic:nvPicPr>
                  <pic:blipFill>
                    <a:blip r:embed="rId12"/>
                    <a:srcRect/>
                    <a:stretch>
                      <a:fillRect/>
                    </a:stretch>
                  </pic:blipFill>
                  <pic:spPr>
                    <a:xfrm>
                      <a:off x="0" y="0"/>
                      <a:ext cx="4102100" cy="2540000"/>
                    </a:xfrm>
                    <a:prstGeom prst="rect">
                      <a:avLst/>
                    </a:prstGeom>
                    <a:ln/>
                  </pic:spPr>
                </pic:pic>
              </a:graphicData>
            </a:graphic>
          </wp:inline>
        </w:drawing>
      </w:r>
    </w:p>
    <w:p w14:paraId="25825B17" w14:textId="77777777" w:rsidR="006F1CFB" w:rsidRDefault="00CB299E">
      <w:pPr>
        <w:shd w:val="clear" w:color="auto" w:fill="FFFFFF"/>
        <w:spacing w:before="240" w:after="24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color w:val="181717"/>
          <w:highlight w:val="white"/>
        </w:rPr>
        <w:t>Fuente: Elaboración propia con información de la Policía Nacional de Colombia - Estadística delictiva</w:t>
      </w:r>
    </w:p>
    <w:p w14:paraId="14ED4505" w14:textId="77777777" w:rsidR="006F1CFB" w:rsidRDefault="00CB299E">
      <w:pPr>
        <w:shd w:val="clear" w:color="auto" w:fill="FFFFFF"/>
        <w:spacing w:before="240"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Esta tendencia pone en evidencia la urgente necesidad de reforzar la vigilancia cibernética, la cooperación interinstitucional y la implementación de tecnologías avanzadas para la prevención, detección y reporte de este tipo de delitos. Este proyecto, por lo tanto, no solo responde a una necesidad urgente y real, sino que también se alinea con las tendencias globales de aplicación de IA en la seguridad digital y la protección de menores.</w:t>
      </w:r>
    </w:p>
    <w:p w14:paraId="6D7D851D" w14:textId="77777777" w:rsidR="006F1CFB" w:rsidRDefault="00CB299E">
      <w:pPr>
        <w:pBdr>
          <w:top w:val="nil"/>
          <w:left w:val="nil"/>
          <w:bottom w:val="nil"/>
          <w:right w:val="nil"/>
          <w:between w:val="nil"/>
        </w:pBdr>
        <w:shd w:val="clear" w:color="auto" w:fill="FFFFFF"/>
        <w:spacing w:before="240"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Países como Estados Unidos y el Reino Unido han implementado herramientas de inteligencia artificial (IA) con resultados positivos en la identificación y persecución de redes de explotación infantil.</w:t>
      </w:r>
    </w:p>
    <w:p w14:paraId="0368A180" w14:textId="77777777" w:rsidR="006F1CFB" w:rsidRDefault="00CB299E">
      <w:pPr>
        <w:pBdr>
          <w:top w:val="nil"/>
          <w:left w:val="nil"/>
          <w:bottom w:val="nil"/>
          <w:right w:val="nil"/>
          <w:between w:val="nil"/>
        </w:pBdr>
        <w:shd w:val="clear" w:color="auto" w:fill="FFFFFF"/>
        <w:spacing w:before="240" w:after="240" w:line="276" w:lineRule="auto"/>
        <w:jc w:val="both"/>
        <w:rPr>
          <w:rFonts w:ascii="Times New Roman" w:eastAsia="Times New Roman" w:hAnsi="Times New Roman" w:cs="Times New Roman"/>
          <w:color w:val="181717"/>
          <w:highlight w:val="white"/>
        </w:rPr>
      </w:pPr>
      <w:r>
        <w:rPr>
          <w:rFonts w:ascii="Times New Roman" w:eastAsia="Times New Roman" w:hAnsi="Times New Roman" w:cs="Times New Roman"/>
          <w:color w:val="181717"/>
          <w:highlight w:val="white"/>
        </w:rPr>
        <w:t>En Estados Unidos existe el Centro Nacional para Niños Desaparecidos y Explotados (NCMEC) que ha incorporado la IA para optimizar la identificación y procesamiento de este tipo de delitos. El NCMEC ha logrado ahorrar más de 4.000 horas en la revisión de documentos e investigaciones, y ha procesado más de 21.000 casos de menores desaparecidos en el último año</w:t>
      </w:r>
      <w:r>
        <w:rPr>
          <w:rFonts w:ascii="Times New Roman" w:eastAsia="Times New Roman" w:hAnsi="Times New Roman" w:cs="Times New Roman"/>
          <w:i/>
          <w:color w:val="202124"/>
          <w:highlight w:val="white"/>
          <w:vertAlign w:val="superscript"/>
        </w:rPr>
        <w:footnoteReference w:id="14"/>
      </w:r>
      <w:r>
        <w:rPr>
          <w:rFonts w:ascii="Times New Roman" w:eastAsia="Times New Roman" w:hAnsi="Times New Roman" w:cs="Times New Roman"/>
          <w:color w:val="181717"/>
          <w:highlight w:val="white"/>
        </w:rPr>
        <w:t>. ​</w:t>
      </w:r>
    </w:p>
    <w:p w14:paraId="600857A2" w14:textId="77777777" w:rsidR="006F1CFB" w:rsidRDefault="00CB299E">
      <w:pPr>
        <w:pBdr>
          <w:top w:val="nil"/>
          <w:left w:val="nil"/>
          <w:bottom w:val="nil"/>
          <w:right w:val="nil"/>
          <w:between w:val="nil"/>
        </w:pBdr>
        <w:shd w:val="clear" w:color="auto" w:fill="FFFFFF"/>
        <w:spacing w:before="240" w:after="24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color w:val="181717"/>
          <w:highlight w:val="white"/>
        </w:rPr>
        <w:t>La implementación de Inteligencia Artificial permitirá detectar, analizar y prevenir estos delitos con mayor precisión, rapidez y alcance.</w:t>
      </w:r>
    </w:p>
    <w:p w14:paraId="3B16BB2B" w14:textId="77777777" w:rsidR="006F1CFB" w:rsidRDefault="00CB299E">
      <w:pPr>
        <w:shd w:val="clear" w:color="auto" w:fill="FFFFFF"/>
        <w:spacing w:before="280" w:after="280" w:line="276" w:lineRule="auto"/>
        <w:jc w:val="both"/>
        <w:rPr>
          <w:rFonts w:ascii="Times New Roman" w:eastAsia="Times New Roman" w:hAnsi="Times New Roman" w:cs="Times New Roman"/>
          <w:b/>
          <w:color w:val="00000A"/>
          <w:highlight w:val="white"/>
        </w:rPr>
      </w:pPr>
      <w:r>
        <w:rPr>
          <w:rFonts w:ascii="Times New Roman" w:eastAsia="Times New Roman" w:hAnsi="Times New Roman" w:cs="Times New Roman"/>
          <w:b/>
          <w:color w:val="00000A"/>
          <w:highlight w:val="white"/>
        </w:rPr>
        <w:t>8. IMPACTO FISCAL</w:t>
      </w:r>
    </w:p>
    <w:p w14:paraId="721727E0" w14:textId="77777777" w:rsidR="006F1CFB" w:rsidRDefault="00CB299E">
      <w:pPr>
        <w:shd w:val="clear" w:color="auto" w:fill="FFFFFF"/>
        <w:spacing w:before="240" w:after="240" w:line="276" w:lineRule="auto"/>
        <w:jc w:val="both"/>
        <w:rPr>
          <w:rFonts w:ascii="Times New Roman" w:eastAsia="Times New Roman" w:hAnsi="Times New Roman" w:cs="Times New Roman"/>
          <w:color w:val="181717"/>
        </w:rPr>
      </w:pPr>
      <w:r>
        <w:rPr>
          <w:rFonts w:ascii="Times New Roman" w:eastAsia="Times New Roman" w:hAnsi="Times New Roman" w:cs="Times New Roman"/>
          <w:color w:val="181717"/>
        </w:rPr>
        <w:t>De conformidad con el artículo 7° de la Ley 819 de 2003, establece lo siguiente: Análisis del impacto fiscal de las normas. En todo momento, el impacto fiscal de cualquier proyecto de ley, ordenanza o acuerdo, que ordene gasto o que otorgue beneficios tributarios, deberá hacerse explícito y deberá ser compatible con el Marco Fiscal de Mediano Plazo. La presente iniciativa no genera impacto fiscal que implique una modificación en el marco fiscal de mediano plazo, toda vez que no se incrementará el Presupuesto del Distrito, ni ocasionará la creación de una nueva fuente de financiación.</w:t>
      </w:r>
    </w:p>
    <w:p w14:paraId="7D61B29C" w14:textId="77777777" w:rsidR="006F1CFB" w:rsidRDefault="00CB299E">
      <w:pPr>
        <w:shd w:val="clear" w:color="auto" w:fill="FFFFFF"/>
        <w:spacing w:before="240" w:after="240" w:line="276" w:lineRule="auto"/>
        <w:jc w:val="both"/>
        <w:rPr>
          <w:rFonts w:ascii="Times New Roman" w:eastAsia="Times New Roman" w:hAnsi="Times New Roman" w:cs="Times New Roman"/>
          <w:color w:val="181717"/>
        </w:rPr>
      </w:pPr>
      <w:r>
        <w:rPr>
          <w:rFonts w:ascii="Times New Roman" w:eastAsia="Times New Roman" w:hAnsi="Times New Roman" w:cs="Times New Roman"/>
          <w:color w:val="181717"/>
        </w:rPr>
        <w:t>Atentamente,</w:t>
      </w:r>
    </w:p>
    <w:p w14:paraId="280DFCA4" w14:textId="2DE27DA0" w:rsidR="006F1CFB" w:rsidRDefault="00CB299E">
      <w:pPr>
        <w:shd w:val="clear" w:color="auto" w:fill="FFFFFF"/>
        <w:spacing w:before="280" w:after="280" w:line="276" w:lineRule="auto"/>
        <w:jc w:val="center"/>
        <w:rPr>
          <w:rFonts w:ascii="Times New Roman" w:eastAsia="Times New Roman" w:hAnsi="Times New Roman" w:cs="Times New Roman"/>
          <w:b/>
          <w:color w:val="181717"/>
        </w:rPr>
      </w:pPr>
      <w:r>
        <w:rPr>
          <w:rFonts w:ascii="Times New Roman" w:eastAsia="Times New Roman" w:hAnsi="Times New Roman" w:cs="Times New Roman"/>
          <w:b/>
          <w:color w:val="181717"/>
        </w:rPr>
        <w:t xml:space="preserve">BANCADA PARTIDO POLÍTICO MIRA </w:t>
      </w:r>
    </w:p>
    <w:p w14:paraId="3BA1DDB2" w14:textId="77777777" w:rsidR="006F1CFB" w:rsidRDefault="006F1CFB">
      <w:pPr>
        <w:shd w:val="clear" w:color="auto" w:fill="FFFFFF"/>
        <w:spacing w:before="280" w:after="280" w:line="276" w:lineRule="auto"/>
        <w:jc w:val="center"/>
        <w:rPr>
          <w:rFonts w:ascii="Times New Roman" w:eastAsia="Times New Roman" w:hAnsi="Times New Roman" w:cs="Times New Roman"/>
          <w:b/>
          <w:color w:val="181717"/>
        </w:rPr>
      </w:pPr>
    </w:p>
    <w:p w14:paraId="4BC2BF65" w14:textId="77777777" w:rsidR="006F1CFB" w:rsidRDefault="00CB299E">
      <w:pPr>
        <w:shd w:val="clear" w:color="auto" w:fill="FFFFFF"/>
        <w:spacing w:before="280" w:after="280" w:line="276" w:lineRule="auto"/>
        <w:jc w:val="center"/>
        <w:rPr>
          <w:rFonts w:ascii="Times New Roman" w:eastAsia="Times New Roman" w:hAnsi="Times New Roman" w:cs="Times New Roman"/>
          <w:b/>
          <w:color w:val="181717"/>
        </w:rPr>
      </w:pPr>
      <w:r>
        <w:rPr>
          <w:rFonts w:ascii="Times New Roman" w:eastAsia="Times New Roman" w:hAnsi="Times New Roman" w:cs="Times New Roman"/>
          <w:b/>
          <w:color w:val="181717"/>
        </w:rPr>
        <w:br/>
      </w:r>
    </w:p>
    <w:tbl>
      <w:tblPr>
        <w:tblStyle w:val="a5"/>
        <w:tblW w:w="88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515"/>
        <w:gridCol w:w="4365"/>
      </w:tblGrid>
      <w:tr w:rsidR="006F1CFB" w14:paraId="681344DE" w14:textId="77777777">
        <w:trPr>
          <w:trHeight w:val="1860"/>
        </w:trPr>
        <w:tc>
          <w:tcPr>
            <w:tcW w:w="4515" w:type="dxa"/>
            <w:tcBorders>
              <w:top w:val="nil"/>
              <w:left w:val="nil"/>
              <w:bottom w:val="nil"/>
              <w:right w:val="nil"/>
            </w:tcBorders>
            <w:tcMar>
              <w:top w:w="0" w:type="dxa"/>
              <w:left w:w="100" w:type="dxa"/>
              <w:bottom w:w="0" w:type="dxa"/>
              <w:right w:w="100" w:type="dxa"/>
            </w:tcMar>
          </w:tcPr>
          <w:p w14:paraId="09355558" w14:textId="77777777" w:rsidR="006F1CFB" w:rsidRDefault="00CB299E">
            <w:pPr>
              <w:shd w:val="clear" w:color="auto" w:fill="FFFFFF"/>
              <w:jc w:val="both"/>
              <w:rPr>
                <w:rFonts w:ascii="Times New Roman" w:eastAsia="Times New Roman" w:hAnsi="Times New Roman" w:cs="Times New Roman"/>
                <w:b/>
                <w:color w:val="181717"/>
              </w:rPr>
            </w:pPr>
            <w:r>
              <w:rPr>
                <w:rFonts w:ascii="Times New Roman" w:eastAsia="Times New Roman" w:hAnsi="Times New Roman" w:cs="Times New Roman"/>
                <w:b/>
                <w:color w:val="181717"/>
              </w:rPr>
              <w:t>SAMIR BEDOYA PIRAQUIVE</w:t>
            </w:r>
          </w:p>
          <w:p w14:paraId="5E17C7AA" w14:textId="77777777" w:rsidR="006F1CFB" w:rsidRDefault="00CB299E">
            <w:pPr>
              <w:shd w:val="clear" w:color="auto" w:fill="FFFFFF"/>
              <w:jc w:val="both"/>
              <w:rPr>
                <w:rFonts w:ascii="Times New Roman" w:eastAsia="Times New Roman" w:hAnsi="Times New Roman" w:cs="Times New Roman"/>
                <w:color w:val="181717"/>
              </w:rPr>
            </w:pPr>
            <w:r>
              <w:rPr>
                <w:rFonts w:ascii="Times New Roman" w:eastAsia="Times New Roman" w:hAnsi="Times New Roman" w:cs="Times New Roman"/>
                <w:color w:val="181717"/>
              </w:rPr>
              <w:t xml:space="preserve">Concejal de Bogotá                                                            </w:t>
            </w:r>
          </w:p>
          <w:p w14:paraId="5153B586" w14:textId="77777777" w:rsidR="006F1CFB" w:rsidRDefault="00CB299E">
            <w:pPr>
              <w:shd w:val="clear" w:color="auto" w:fill="FFFFFF"/>
              <w:jc w:val="both"/>
              <w:rPr>
                <w:rFonts w:ascii="Times New Roman" w:eastAsia="Times New Roman" w:hAnsi="Times New Roman" w:cs="Times New Roman"/>
                <w:color w:val="181717"/>
              </w:rPr>
            </w:pPr>
            <w:r>
              <w:rPr>
                <w:rFonts w:ascii="Times New Roman" w:eastAsia="Times New Roman" w:hAnsi="Times New Roman" w:cs="Times New Roman"/>
                <w:color w:val="181717"/>
              </w:rPr>
              <w:t xml:space="preserve">Partido Político MIRA                         </w:t>
            </w:r>
          </w:p>
          <w:p w14:paraId="1367BDAF" w14:textId="77777777" w:rsidR="006F1CFB" w:rsidRDefault="006F1CFB">
            <w:pPr>
              <w:shd w:val="clear" w:color="auto" w:fill="FFFFFF"/>
              <w:jc w:val="both"/>
              <w:rPr>
                <w:rFonts w:ascii="Times New Roman" w:eastAsia="Times New Roman" w:hAnsi="Times New Roman" w:cs="Times New Roman"/>
                <w:color w:val="181717"/>
              </w:rPr>
            </w:pPr>
          </w:p>
          <w:p w14:paraId="0DE49A8D" w14:textId="77777777" w:rsidR="006F1CFB" w:rsidRDefault="006F1CFB">
            <w:pPr>
              <w:shd w:val="clear" w:color="auto" w:fill="FFFFFF"/>
              <w:jc w:val="both"/>
              <w:rPr>
                <w:rFonts w:ascii="Times New Roman" w:eastAsia="Times New Roman" w:hAnsi="Times New Roman" w:cs="Times New Roman"/>
                <w:color w:val="181717"/>
              </w:rPr>
            </w:pPr>
          </w:p>
          <w:p w14:paraId="1609BAA3" w14:textId="77777777" w:rsidR="006F1CFB" w:rsidRDefault="006F1CFB">
            <w:pPr>
              <w:shd w:val="clear" w:color="auto" w:fill="FFFFFF"/>
              <w:jc w:val="both"/>
              <w:rPr>
                <w:rFonts w:ascii="Times New Roman" w:eastAsia="Times New Roman" w:hAnsi="Times New Roman" w:cs="Times New Roman"/>
                <w:color w:val="181717"/>
              </w:rPr>
            </w:pPr>
          </w:p>
          <w:p w14:paraId="0E49C786" w14:textId="77777777" w:rsidR="006F1CFB" w:rsidRDefault="006F1CFB">
            <w:pPr>
              <w:shd w:val="clear" w:color="auto" w:fill="FFFFFF"/>
              <w:jc w:val="both"/>
              <w:rPr>
                <w:rFonts w:ascii="Times New Roman" w:eastAsia="Times New Roman" w:hAnsi="Times New Roman" w:cs="Times New Roman"/>
                <w:color w:val="181717"/>
              </w:rPr>
            </w:pPr>
          </w:p>
          <w:p w14:paraId="3F781E05" w14:textId="77777777" w:rsidR="006F1CFB" w:rsidRDefault="006F1CFB">
            <w:pPr>
              <w:shd w:val="clear" w:color="auto" w:fill="FFFFFF"/>
              <w:jc w:val="both"/>
              <w:rPr>
                <w:rFonts w:ascii="Times New Roman" w:eastAsia="Times New Roman" w:hAnsi="Times New Roman" w:cs="Times New Roman"/>
                <w:color w:val="181717"/>
              </w:rPr>
            </w:pPr>
          </w:p>
          <w:p w14:paraId="7E248473" w14:textId="77777777" w:rsidR="006F1CFB" w:rsidRDefault="006F1CFB">
            <w:pPr>
              <w:shd w:val="clear" w:color="auto" w:fill="FFFFFF"/>
              <w:jc w:val="both"/>
              <w:rPr>
                <w:rFonts w:ascii="Times New Roman" w:eastAsia="Times New Roman" w:hAnsi="Times New Roman" w:cs="Times New Roman"/>
                <w:color w:val="181717"/>
              </w:rPr>
            </w:pPr>
          </w:p>
          <w:p w14:paraId="59FA196D" w14:textId="77777777" w:rsidR="006F1CFB" w:rsidRDefault="00CB299E">
            <w:pPr>
              <w:shd w:val="clear" w:color="auto" w:fill="FFFFFF"/>
              <w:jc w:val="both"/>
              <w:rPr>
                <w:rFonts w:ascii="Times New Roman" w:eastAsia="Times New Roman" w:hAnsi="Times New Roman" w:cs="Times New Roman"/>
                <w:color w:val="181717"/>
              </w:rPr>
            </w:pPr>
            <w:r>
              <w:rPr>
                <w:rFonts w:ascii="Times New Roman" w:eastAsia="Times New Roman" w:hAnsi="Times New Roman" w:cs="Times New Roman"/>
                <w:color w:val="181717"/>
              </w:rPr>
              <w:t xml:space="preserve">                                  </w:t>
            </w:r>
          </w:p>
        </w:tc>
        <w:tc>
          <w:tcPr>
            <w:tcW w:w="4365" w:type="dxa"/>
            <w:tcBorders>
              <w:top w:val="nil"/>
              <w:left w:val="nil"/>
              <w:bottom w:val="nil"/>
              <w:right w:val="nil"/>
            </w:tcBorders>
            <w:tcMar>
              <w:top w:w="0" w:type="dxa"/>
              <w:left w:w="100" w:type="dxa"/>
              <w:bottom w:w="0" w:type="dxa"/>
              <w:right w:w="100" w:type="dxa"/>
            </w:tcMar>
          </w:tcPr>
          <w:p w14:paraId="6AAE48C8" w14:textId="77777777" w:rsidR="006F1CFB" w:rsidRDefault="00CB299E">
            <w:pPr>
              <w:shd w:val="clear" w:color="auto" w:fill="FFFFFF"/>
              <w:jc w:val="both"/>
              <w:rPr>
                <w:rFonts w:ascii="Times New Roman" w:eastAsia="Times New Roman" w:hAnsi="Times New Roman" w:cs="Times New Roman"/>
                <w:b/>
                <w:color w:val="181717"/>
              </w:rPr>
            </w:pPr>
            <w:r>
              <w:rPr>
                <w:rFonts w:ascii="Times New Roman" w:eastAsia="Times New Roman" w:hAnsi="Times New Roman" w:cs="Times New Roman"/>
                <w:b/>
                <w:color w:val="181717"/>
              </w:rPr>
              <w:t>FABIÁN ANDRÉS PUENTES SIERRA</w:t>
            </w:r>
          </w:p>
          <w:p w14:paraId="3B2B06DC" w14:textId="77777777" w:rsidR="006F1CFB" w:rsidRDefault="00CB299E">
            <w:pPr>
              <w:shd w:val="clear" w:color="auto" w:fill="FFFFFF"/>
              <w:jc w:val="both"/>
              <w:rPr>
                <w:rFonts w:ascii="Times New Roman" w:eastAsia="Times New Roman" w:hAnsi="Times New Roman" w:cs="Times New Roman"/>
                <w:color w:val="181717"/>
              </w:rPr>
            </w:pPr>
            <w:r>
              <w:rPr>
                <w:rFonts w:ascii="Times New Roman" w:eastAsia="Times New Roman" w:hAnsi="Times New Roman" w:cs="Times New Roman"/>
                <w:color w:val="181717"/>
              </w:rPr>
              <w:t xml:space="preserve"> Concejal de Bogotá                                         </w:t>
            </w:r>
          </w:p>
          <w:p w14:paraId="7CB2F677" w14:textId="77777777" w:rsidR="006F1CFB" w:rsidRDefault="00CB299E">
            <w:pPr>
              <w:shd w:val="clear" w:color="auto" w:fill="FFFFFF"/>
              <w:jc w:val="both"/>
              <w:rPr>
                <w:rFonts w:ascii="Times New Roman" w:eastAsia="Times New Roman" w:hAnsi="Times New Roman" w:cs="Times New Roman"/>
                <w:color w:val="181717"/>
              </w:rPr>
            </w:pPr>
            <w:r>
              <w:rPr>
                <w:rFonts w:ascii="Times New Roman" w:eastAsia="Times New Roman" w:hAnsi="Times New Roman" w:cs="Times New Roman"/>
                <w:color w:val="181717"/>
              </w:rPr>
              <w:t xml:space="preserve"> Partido Político MIRA      </w:t>
            </w:r>
          </w:p>
          <w:p w14:paraId="78A63D8C" w14:textId="77777777" w:rsidR="006F1CFB" w:rsidRDefault="006F1CFB">
            <w:pPr>
              <w:shd w:val="clear" w:color="auto" w:fill="FFFFFF"/>
              <w:jc w:val="both"/>
              <w:rPr>
                <w:rFonts w:ascii="Times New Roman" w:eastAsia="Times New Roman" w:hAnsi="Times New Roman" w:cs="Times New Roman"/>
                <w:color w:val="181717"/>
              </w:rPr>
            </w:pPr>
          </w:p>
          <w:p w14:paraId="1C94098A" w14:textId="77777777" w:rsidR="006F1CFB" w:rsidRDefault="006F1CFB">
            <w:pPr>
              <w:shd w:val="clear" w:color="auto" w:fill="FFFFFF"/>
              <w:jc w:val="both"/>
              <w:rPr>
                <w:rFonts w:ascii="Times New Roman" w:eastAsia="Times New Roman" w:hAnsi="Times New Roman" w:cs="Times New Roman"/>
                <w:color w:val="181717"/>
              </w:rPr>
            </w:pPr>
          </w:p>
          <w:p w14:paraId="763EB956" w14:textId="77777777" w:rsidR="006F1CFB" w:rsidRDefault="006F1CFB">
            <w:pPr>
              <w:shd w:val="clear" w:color="auto" w:fill="FFFFFF"/>
              <w:jc w:val="both"/>
              <w:rPr>
                <w:rFonts w:ascii="Times New Roman" w:eastAsia="Times New Roman" w:hAnsi="Times New Roman" w:cs="Times New Roman"/>
                <w:color w:val="181717"/>
              </w:rPr>
            </w:pPr>
          </w:p>
          <w:p w14:paraId="5F592003" w14:textId="77777777" w:rsidR="006F1CFB" w:rsidRDefault="006F1CFB">
            <w:pPr>
              <w:shd w:val="clear" w:color="auto" w:fill="FFFFFF"/>
              <w:jc w:val="both"/>
              <w:rPr>
                <w:rFonts w:ascii="Times New Roman" w:eastAsia="Times New Roman" w:hAnsi="Times New Roman" w:cs="Times New Roman"/>
                <w:color w:val="181717"/>
              </w:rPr>
            </w:pPr>
          </w:p>
          <w:p w14:paraId="792DF205" w14:textId="77777777" w:rsidR="006F1CFB" w:rsidRDefault="006F1CFB">
            <w:pPr>
              <w:shd w:val="clear" w:color="auto" w:fill="FFFFFF"/>
              <w:jc w:val="both"/>
              <w:rPr>
                <w:rFonts w:ascii="Times New Roman" w:eastAsia="Times New Roman" w:hAnsi="Times New Roman" w:cs="Times New Roman"/>
                <w:color w:val="181717"/>
              </w:rPr>
            </w:pPr>
          </w:p>
          <w:p w14:paraId="72AAAF56" w14:textId="77777777" w:rsidR="006F1CFB" w:rsidRDefault="006F1CFB">
            <w:pPr>
              <w:shd w:val="clear" w:color="auto" w:fill="FFFFFF"/>
              <w:jc w:val="both"/>
              <w:rPr>
                <w:rFonts w:ascii="Times New Roman" w:eastAsia="Times New Roman" w:hAnsi="Times New Roman" w:cs="Times New Roman"/>
                <w:color w:val="181717"/>
              </w:rPr>
            </w:pPr>
          </w:p>
          <w:p w14:paraId="19156A4F" w14:textId="77777777" w:rsidR="006F1CFB" w:rsidRDefault="006F1CFB">
            <w:pPr>
              <w:shd w:val="clear" w:color="auto" w:fill="FFFFFF"/>
              <w:jc w:val="both"/>
              <w:rPr>
                <w:rFonts w:ascii="Times New Roman" w:eastAsia="Times New Roman" w:hAnsi="Times New Roman" w:cs="Times New Roman"/>
                <w:color w:val="181717"/>
              </w:rPr>
            </w:pPr>
          </w:p>
          <w:p w14:paraId="659C1A1C" w14:textId="77777777" w:rsidR="006F1CFB" w:rsidRDefault="006F1CFB">
            <w:pPr>
              <w:shd w:val="clear" w:color="auto" w:fill="FFFFFF"/>
              <w:jc w:val="both"/>
              <w:rPr>
                <w:rFonts w:ascii="Times New Roman" w:eastAsia="Times New Roman" w:hAnsi="Times New Roman" w:cs="Times New Roman"/>
                <w:color w:val="181717"/>
              </w:rPr>
            </w:pPr>
          </w:p>
          <w:p w14:paraId="30A293F7" w14:textId="77777777" w:rsidR="006F1CFB" w:rsidRDefault="00CB299E">
            <w:pPr>
              <w:shd w:val="clear" w:color="auto" w:fill="FFFFFF"/>
              <w:jc w:val="both"/>
              <w:rPr>
                <w:rFonts w:ascii="Times New Roman" w:eastAsia="Times New Roman" w:hAnsi="Times New Roman" w:cs="Times New Roman"/>
                <w:color w:val="181717"/>
              </w:rPr>
            </w:pPr>
            <w:r>
              <w:rPr>
                <w:rFonts w:ascii="Times New Roman" w:eastAsia="Times New Roman" w:hAnsi="Times New Roman" w:cs="Times New Roman"/>
                <w:color w:val="181717"/>
              </w:rPr>
              <w:t xml:space="preserve">                                                    </w:t>
            </w:r>
          </w:p>
        </w:tc>
      </w:tr>
    </w:tbl>
    <w:p w14:paraId="4645E632" w14:textId="77777777" w:rsidR="006F1CFB" w:rsidRDefault="006F1CFB">
      <w:pPr>
        <w:shd w:val="clear" w:color="auto" w:fill="FFFFFF"/>
        <w:spacing w:before="240" w:after="240" w:line="276" w:lineRule="auto"/>
        <w:jc w:val="center"/>
        <w:rPr>
          <w:rFonts w:ascii="Times New Roman" w:eastAsia="Times New Roman" w:hAnsi="Times New Roman" w:cs="Times New Roman"/>
          <w:b/>
          <w:color w:val="181717"/>
        </w:rPr>
      </w:pPr>
    </w:p>
    <w:p w14:paraId="029CD513" w14:textId="77777777" w:rsidR="006F1CFB" w:rsidRDefault="006F1CFB">
      <w:pPr>
        <w:shd w:val="clear" w:color="auto" w:fill="FFFFFF"/>
        <w:spacing w:before="240" w:after="240" w:line="276" w:lineRule="auto"/>
        <w:jc w:val="center"/>
        <w:rPr>
          <w:rFonts w:ascii="Times New Roman" w:eastAsia="Times New Roman" w:hAnsi="Times New Roman" w:cs="Times New Roman"/>
          <w:b/>
          <w:color w:val="181717"/>
        </w:rPr>
      </w:pPr>
    </w:p>
    <w:p w14:paraId="55A6E343" w14:textId="77777777" w:rsidR="006F1CFB" w:rsidRDefault="006F1CFB">
      <w:pPr>
        <w:shd w:val="clear" w:color="auto" w:fill="FFFFFF"/>
        <w:spacing w:before="240" w:after="240" w:line="276" w:lineRule="auto"/>
        <w:jc w:val="center"/>
        <w:rPr>
          <w:rFonts w:ascii="Times New Roman" w:eastAsia="Times New Roman" w:hAnsi="Times New Roman" w:cs="Times New Roman"/>
          <w:b/>
          <w:color w:val="181717"/>
        </w:rPr>
      </w:pPr>
    </w:p>
    <w:p w14:paraId="7E69655E" w14:textId="77777777" w:rsidR="006F1CFB" w:rsidRDefault="006F1CFB">
      <w:pPr>
        <w:shd w:val="clear" w:color="auto" w:fill="FFFFFF"/>
        <w:spacing w:before="240" w:after="240" w:line="276" w:lineRule="auto"/>
        <w:jc w:val="center"/>
        <w:rPr>
          <w:rFonts w:ascii="Times New Roman" w:eastAsia="Times New Roman" w:hAnsi="Times New Roman" w:cs="Times New Roman"/>
          <w:b/>
          <w:color w:val="181717"/>
        </w:rPr>
      </w:pPr>
    </w:p>
    <w:p w14:paraId="2C62CACD" w14:textId="77777777" w:rsidR="006F1CFB" w:rsidRDefault="00CB299E">
      <w:pPr>
        <w:shd w:val="clear" w:color="auto" w:fill="FFFFFF"/>
        <w:spacing w:before="240" w:after="240" w:line="276" w:lineRule="auto"/>
        <w:jc w:val="center"/>
        <w:rPr>
          <w:rFonts w:ascii="Times New Roman" w:eastAsia="Times New Roman" w:hAnsi="Times New Roman" w:cs="Times New Roman"/>
        </w:rPr>
      </w:pPr>
      <w:r>
        <w:rPr>
          <w:rFonts w:ascii="Times New Roman" w:eastAsia="Times New Roman" w:hAnsi="Times New Roman" w:cs="Times New Roman"/>
          <w:b/>
          <w:color w:val="181717"/>
        </w:rPr>
        <w:t>PROYECTO DE ACUERDO No. __________ DE  2024</w:t>
      </w:r>
    </w:p>
    <w:p w14:paraId="650AD37E" w14:textId="77777777" w:rsidR="006F1CFB" w:rsidRDefault="00CB299E">
      <w:pPr>
        <w:shd w:val="clear" w:color="auto" w:fill="FFFFFF"/>
        <w:spacing w:line="276" w:lineRule="auto"/>
        <w:jc w:val="center"/>
        <w:rPr>
          <w:rFonts w:ascii="Times New Roman" w:eastAsia="Times New Roman" w:hAnsi="Times New Roman" w:cs="Times New Roman"/>
          <w:b/>
          <w:color w:val="333333"/>
        </w:rPr>
      </w:pPr>
      <w:r>
        <w:rPr>
          <w:rFonts w:ascii="Times New Roman" w:eastAsia="Times New Roman" w:hAnsi="Times New Roman" w:cs="Times New Roman"/>
          <w:b/>
          <w:color w:val="333333"/>
        </w:rPr>
        <w:t xml:space="preserve"> “POR MEDIO DEL CUAL SE GENERAN LINEAMIENTOS PARA EL USO DE  INTELIGENCIA ARTIFICIAL PARA PREVENIR LA EXPLOTACIÓN SEXUAL Y EL ABUSO SEXUAL NNA EN EL DISTRITO CAPITAL Y SE DICTAN OTRAS DISPOSICIONES”.  </w:t>
      </w:r>
    </w:p>
    <w:p w14:paraId="6B606B60" w14:textId="77777777" w:rsidR="006F1CFB" w:rsidRDefault="00CB299E">
      <w:pPr>
        <w:shd w:val="clear" w:color="auto" w:fill="FFFFFF"/>
        <w:spacing w:line="276" w:lineRule="auto"/>
        <w:jc w:val="both"/>
        <w:rPr>
          <w:rFonts w:ascii="Times New Roman" w:eastAsia="Times New Roman" w:hAnsi="Times New Roman" w:cs="Times New Roman"/>
          <w:b/>
          <w:color w:val="333333"/>
        </w:rPr>
      </w:pPr>
      <w:r>
        <w:rPr>
          <w:rFonts w:ascii="Times New Roman" w:eastAsia="Times New Roman" w:hAnsi="Times New Roman" w:cs="Times New Roman"/>
          <w:b/>
          <w:color w:val="333333"/>
        </w:rPr>
        <w:t xml:space="preserve">  </w:t>
      </w:r>
    </w:p>
    <w:p w14:paraId="6D044393" w14:textId="77777777" w:rsidR="006F1CFB" w:rsidRDefault="00CB299E">
      <w:pPr>
        <w:shd w:val="clear" w:color="auto" w:fill="FFFFFF"/>
        <w:spacing w:line="276" w:lineRule="auto"/>
        <w:jc w:val="center"/>
        <w:rPr>
          <w:rFonts w:ascii="Times New Roman" w:eastAsia="Times New Roman" w:hAnsi="Times New Roman" w:cs="Times New Roman"/>
          <w:b/>
          <w:color w:val="333333"/>
        </w:rPr>
      </w:pPr>
      <w:r>
        <w:rPr>
          <w:rFonts w:ascii="Times New Roman" w:eastAsia="Times New Roman" w:hAnsi="Times New Roman" w:cs="Times New Roman"/>
          <w:b/>
          <w:color w:val="333333"/>
        </w:rPr>
        <w:t xml:space="preserve"> EL CONCEJO DE BOGOTÁ </w:t>
      </w:r>
    </w:p>
    <w:p w14:paraId="57A1486D" w14:textId="77777777" w:rsidR="006F1CFB" w:rsidRDefault="00CB299E">
      <w:pPr>
        <w:shd w:val="clear" w:color="auto" w:fill="FFFFFF"/>
        <w:spacing w:before="240" w:after="240" w:line="276" w:lineRule="auto"/>
        <w:jc w:val="center"/>
        <w:rPr>
          <w:rFonts w:ascii="Times New Roman" w:eastAsia="Times New Roman" w:hAnsi="Times New Roman" w:cs="Times New Roman"/>
          <w:b/>
          <w:color w:val="333333"/>
          <w:sz w:val="20"/>
          <w:szCs w:val="20"/>
        </w:rPr>
      </w:pPr>
      <w:r>
        <w:rPr>
          <w:rFonts w:ascii="Times New Roman" w:eastAsia="Times New Roman" w:hAnsi="Times New Roman" w:cs="Times New Roman"/>
          <w:color w:val="333333"/>
        </w:rPr>
        <w:t>En uso de sus facultades constitucionales y legales, en especial las conferidas por el numeral 1,13 y 25 del artículo 12 del Decreto Ley 1421 de 1993</w:t>
      </w:r>
    </w:p>
    <w:p w14:paraId="61645856" w14:textId="77777777" w:rsidR="006F1CFB" w:rsidRDefault="00CB299E">
      <w:pPr>
        <w:shd w:val="clear" w:color="auto" w:fill="FFFFFF"/>
        <w:spacing w:line="276" w:lineRule="auto"/>
        <w:jc w:val="center"/>
        <w:rPr>
          <w:rFonts w:ascii="Times New Roman" w:eastAsia="Times New Roman" w:hAnsi="Times New Roman" w:cs="Times New Roman"/>
          <w:b/>
          <w:color w:val="333333"/>
        </w:rPr>
      </w:pPr>
      <w:r>
        <w:rPr>
          <w:rFonts w:ascii="Times New Roman" w:eastAsia="Times New Roman" w:hAnsi="Times New Roman" w:cs="Times New Roman"/>
          <w:b/>
          <w:color w:val="333333"/>
        </w:rPr>
        <w:t xml:space="preserve">ACUERDA </w:t>
      </w:r>
    </w:p>
    <w:p w14:paraId="619DB3CE" w14:textId="77777777" w:rsidR="006F1CFB" w:rsidRDefault="00CB299E">
      <w:pPr>
        <w:shd w:val="clear" w:color="auto" w:fill="FFFFFF"/>
        <w:spacing w:line="276" w:lineRule="auto"/>
        <w:jc w:val="center"/>
        <w:rPr>
          <w:rFonts w:ascii="Times New Roman" w:eastAsia="Times New Roman" w:hAnsi="Times New Roman" w:cs="Times New Roman"/>
          <w:b/>
          <w:color w:val="333333"/>
          <w:sz w:val="20"/>
          <w:szCs w:val="20"/>
        </w:rPr>
      </w:pPr>
      <w:r>
        <w:rPr>
          <w:rFonts w:ascii="Times New Roman" w:eastAsia="Times New Roman" w:hAnsi="Times New Roman" w:cs="Times New Roman"/>
          <w:b/>
          <w:color w:val="333333"/>
          <w:sz w:val="20"/>
          <w:szCs w:val="20"/>
        </w:rPr>
        <w:t xml:space="preserve"> </w:t>
      </w:r>
    </w:p>
    <w:p w14:paraId="7A07DA7F" w14:textId="77777777" w:rsidR="006F1CFB" w:rsidRDefault="00CB299E">
      <w:pPr>
        <w:shd w:val="clear" w:color="auto" w:fill="FFFFFF"/>
        <w:spacing w:line="276" w:lineRule="auto"/>
        <w:jc w:val="both"/>
        <w:rPr>
          <w:rFonts w:ascii="Times New Roman" w:eastAsia="Times New Roman" w:hAnsi="Times New Roman" w:cs="Times New Roman"/>
          <w:color w:val="0D0D0D"/>
          <w:highlight w:val="white"/>
        </w:rPr>
      </w:pPr>
      <w:r>
        <w:rPr>
          <w:rFonts w:ascii="Times New Roman" w:eastAsia="Times New Roman" w:hAnsi="Times New Roman" w:cs="Times New Roman"/>
          <w:b/>
          <w:color w:val="0D0D0D"/>
          <w:highlight w:val="white"/>
        </w:rPr>
        <w:t>ARTÍCULO 1 OBJETO:</w:t>
      </w:r>
      <w:r>
        <w:rPr>
          <w:rFonts w:ascii="Times New Roman" w:eastAsia="Times New Roman" w:hAnsi="Times New Roman" w:cs="Times New Roman"/>
          <w:color w:val="333333"/>
        </w:rPr>
        <w:t xml:space="preserve"> Promover el uso de la inteligencia artificial para  </w:t>
      </w:r>
      <w:r>
        <w:rPr>
          <w:rFonts w:ascii="Times New Roman" w:eastAsia="Times New Roman" w:hAnsi="Times New Roman" w:cs="Times New Roman"/>
          <w:color w:val="0D0D0D"/>
          <w:highlight w:val="white"/>
        </w:rPr>
        <w:t xml:space="preserve">prevenir la explotación y el abuso sexual en niños , niñas y adolescentes en Bogotá. </w:t>
      </w:r>
    </w:p>
    <w:p w14:paraId="1A563339" w14:textId="77777777" w:rsidR="006F1CFB" w:rsidRDefault="006F1CFB">
      <w:pPr>
        <w:shd w:val="clear" w:color="auto" w:fill="FFFFFF"/>
        <w:spacing w:line="276" w:lineRule="auto"/>
        <w:jc w:val="both"/>
        <w:rPr>
          <w:rFonts w:ascii="Times New Roman" w:eastAsia="Times New Roman" w:hAnsi="Times New Roman" w:cs="Times New Roman"/>
          <w:color w:val="0D0D0D"/>
          <w:highlight w:val="white"/>
        </w:rPr>
      </w:pPr>
    </w:p>
    <w:p w14:paraId="77F7D98F" w14:textId="77777777" w:rsidR="006F1CFB" w:rsidRDefault="00CB299E">
      <w:pPr>
        <w:shd w:val="clear" w:color="auto" w:fill="FFFFFF"/>
        <w:spacing w:line="276" w:lineRule="auto"/>
        <w:jc w:val="both"/>
        <w:rPr>
          <w:rFonts w:ascii="Times New Roman" w:eastAsia="Times New Roman" w:hAnsi="Times New Roman" w:cs="Times New Roman"/>
          <w:color w:val="0D0D0D"/>
          <w:highlight w:val="white"/>
        </w:rPr>
      </w:pPr>
      <w:r>
        <w:rPr>
          <w:rFonts w:ascii="Times New Roman" w:eastAsia="Times New Roman" w:hAnsi="Times New Roman" w:cs="Times New Roman"/>
          <w:b/>
          <w:color w:val="0D0D0D"/>
          <w:highlight w:val="white"/>
        </w:rPr>
        <w:t>ARTÍCULO 2 ALCANCE</w:t>
      </w:r>
      <w:r>
        <w:rPr>
          <w:rFonts w:ascii="Times New Roman" w:eastAsia="Times New Roman" w:hAnsi="Times New Roman" w:cs="Times New Roman"/>
          <w:color w:val="0D0D0D"/>
          <w:highlight w:val="white"/>
        </w:rPr>
        <w:t>.: Incluir el uso de inteligencia artificial  con el propósito de analizar,  prevenir y reportar casos de explotación y abuso sexual que afecten a la población infantil  y adolescentes en Bogotá.</w:t>
      </w:r>
    </w:p>
    <w:p w14:paraId="7A624A91" w14:textId="77777777" w:rsidR="006F1CFB" w:rsidRDefault="006F1CFB">
      <w:pPr>
        <w:shd w:val="clear" w:color="auto" w:fill="FFFFFF"/>
        <w:spacing w:line="276" w:lineRule="auto"/>
        <w:jc w:val="both"/>
        <w:rPr>
          <w:rFonts w:ascii="Times New Roman" w:eastAsia="Times New Roman" w:hAnsi="Times New Roman" w:cs="Times New Roman"/>
          <w:color w:val="0D0D0D"/>
          <w:highlight w:val="white"/>
        </w:rPr>
      </w:pPr>
    </w:p>
    <w:p w14:paraId="27D3940A" w14:textId="77777777" w:rsidR="006F1CFB" w:rsidRDefault="00CB299E">
      <w:pPr>
        <w:shd w:val="clear" w:color="auto" w:fill="FFFFFF"/>
        <w:spacing w:line="276" w:lineRule="auto"/>
        <w:jc w:val="both"/>
        <w:rPr>
          <w:rFonts w:ascii="Times New Roman" w:eastAsia="Times New Roman" w:hAnsi="Times New Roman" w:cs="Times New Roman"/>
          <w:color w:val="0D0D0D"/>
          <w:highlight w:val="white"/>
        </w:rPr>
      </w:pPr>
      <w:r>
        <w:rPr>
          <w:rFonts w:ascii="Times New Roman" w:eastAsia="Times New Roman" w:hAnsi="Times New Roman" w:cs="Times New Roman"/>
          <w:color w:val="0D0D0D"/>
          <w:highlight w:val="white"/>
        </w:rPr>
        <w:t>El uso de la inteligencia artificial, en este sentido, tendrá los siguientes objetivos:</w:t>
      </w:r>
    </w:p>
    <w:p w14:paraId="7AE304BE" w14:textId="77777777" w:rsidR="006F1CFB" w:rsidRDefault="006F1CFB">
      <w:pPr>
        <w:shd w:val="clear" w:color="auto" w:fill="FFFFFF"/>
        <w:spacing w:line="276" w:lineRule="auto"/>
        <w:jc w:val="both"/>
        <w:rPr>
          <w:rFonts w:ascii="Times New Roman" w:eastAsia="Times New Roman" w:hAnsi="Times New Roman" w:cs="Times New Roman"/>
          <w:color w:val="0D0D0D"/>
          <w:highlight w:val="white"/>
        </w:rPr>
      </w:pPr>
    </w:p>
    <w:p w14:paraId="7239E74E" w14:textId="77777777" w:rsidR="006F1CFB" w:rsidRDefault="00CB299E">
      <w:pPr>
        <w:numPr>
          <w:ilvl w:val="0"/>
          <w:numId w:val="8"/>
        </w:numPr>
        <w:shd w:val="clear" w:color="auto" w:fill="FFFFFF"/>
        <w:spacing w:line="276" w:lineRule="auto"/>
        <w:jc w:val="both"/>
        <w:rPr>
          <w:rFonts w:ascii="Times New Roman" w:eastAsia="Times New Roman" w:hAnsi="Times New Roman" w:cs="Times New Roman"/>
          <w:color w:val="0D0D0D"/>
          <w:highlight w:val="white"/>
        </w:rPr>
      </w:pPr>
      <w:r>
        <w:rPr>
          <w:rFonts w:ascii="Times New Roman" w:eastAsia="Times New Roman" w:hAnsi="Times New Roman" w:cs="Times New Roman"/>
          <w:color w:val="0D0D0D"/>
          <w:highlight w:val="white"/>
        </w:rPr>
        <w:t>Analizar datos de los casos reportados en los diferentes sistemas de información y de observatorios del distrito de niños, niñas y adolescentes para identificar patrones relevantes en las localidades y barrios, así como  el desarrollo de prospectiva con base en la información.</w:t>
      </w:r>
    </w:p>
    <w:p w14:paraId="326B85F6" w14:textId="77777777" w:rsidR="006F1CFB" w:rsidRDefault="006F1CFB">
      <w:pPr>
        <w:shd w:val="clear" w:color="auto" w:fill="FFFFFF"/>
        <w:spacing w:line="276" w:lineRule="auto"/>
        <w:jc w:val="both"/>
        <w:rPr>
          <w:rFonts w:ascii="Times New Roman" w:eastAsia="Times New Roman" w:hAnsi="Times New Roman" w:cs="Times New Roman"/>
          <w:color w:val="0D0D0D"/>
          <w:highlight w:val="white"/>
        </w:rPr>
      </w:pPr>
    </w:p>
    <w:p w14:paraId="61FEF420" w14:textId="77777777" w:rsidR="006F1CFB" w:rsidRDefault="00CB299E">
      <w:pPr>
        <w:numPr>
          <w:ilvl w:val="0"/>
          <w:numId w:val="8"/>
        </w:numPr>
        <w:shd w:val="clear" w:color="auto" w:fill="FFFFFF"/>
        <w:spacing w:line="276" w:lineRule="auto"/>
        <w:jc w:val="both"/>
        <w:rPr>
          <w:rFonts w:ascii="Times New Roman" w:eastAsia="Times New Roman" w:hAnsi="Times New Roman" w:cs="Times New Roman"/>
          <w:color w:val="0D0D0D"/>
          <w:highlight w:val="white"/>
        </w:rPr>
      </w:pPr>
      <w:r>
        <w:rPr>
          <w:rFonts w:ascii="Times New Roman" w:eastAsia="Times New Roman" w:hAnsi="Times New Roman" w:cs="Times New Roman"/>
          <w:color w:val="0D0D0D"/>
          <w:highlight w:val="white"/>
        </w:rPr>
        <w:t>Identificar patrones de explotación y abuso sexual infantil en la red para reportalos a las entidades competentes.</w:t>
      </w:r>
    </w:p>
    <w:p w14:paraId="0CE84D97" w14:textId="77777777" w:rsidR="006F1CFB" w:rsidRDefault="006F1CFB">
      <w:pPr>
        <w:shd w:val="clear" w:color="auto" w:fill="FFFFFF"/>
        <w:spacing w:line="276" w:lineRule="auto"/>
        <w:ind w:left="1440"/>
        <w:jc w:val="both"/>
        <w:rPr>
          <w:rFonts w:ascii="Times New Roman" w:eastAsia="Times New Roman" w:hAnsi="Times New Roman" w:cs="Times New Roman"/>
          <w:color w:val="333333"/>
          <w:highlight w:val="white"/>
        </w:rPr>
      </w:pPr>
    </w:p>
    <w:p w14:paraId="46F544CA" w14:textId="77777777" w:rsidR="006F1CFB" w:rsidRDefault="00CB299E">
      <w:pPr>
        <w:numPr>
          <w:ilvl w:val="0"/>
          <w:numId w:val="8"/>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0D0D0D"/>
          <w:highlight w:val="white"/>
        </w:rPr>
        <w:t xml:space="preserve">Permitir, como parte de las acciones de detección de delitos cibernéticos, la </w:t>
      </w:r>
      <w:r>
        <w:rPr>
          <w:rFonts w:ascii="Times New Roman" w:eastAsia="Times New Roman" w:hAnsi="Times New Roman" w:cs="Times New Roman"/>
          <w:color w:val="333333"/>
          <w:highlight w:val="white"/>
        </w:rPr>
        <w:t xml:space="preserve">detección de contenido inapropiado o explícito, rastreando </w:t>
      </w:r>
      <w:r>
        <w:rPr>
          <w:rFonts w:ascii="Times New Roman" w:eastAsia="Times New Roman" w:hAnsi="Times New Roman" w:cs="Times New Roman"/>
          <w:color w:val="0D0D0D"/>
          <w:highlight w:val="white"/>
        </w:rPr>
        <w:t>las plataformas de redes sociales, sitios web y otros medios digitales que exponen este tipo de contenido, para su posterior reporte a las entidades competentes.</w:t>
      </w:r>
    </w:p>
    <w:p w14:paraId="4A5CD64B" w14:textId="77777777" w:rsidR="006F1CFB" w:rsidRDefault="006F1CFB">
      <w:pPr>
        <w:shd w:val="clear" w:color="auto" w:fill="FFFFFF"/>
        <w:spacing w:line="276" w:lineRule="auto"/>
        <w:jc w:val="both"/>
        <w:rPr>
          <w:rFonts w:ascii="Times New Roman" w:eastAsia="Times New Roman" w:hAnsi="Times New Roman" w:cs="Times New Roman"/>
          <w:b/>
          <w:color w:val="333333"/>
        </w:rPr>
      </w:pPr>
    </w:p>
    <w:p w14:paraId="6695DE13" w14:textId="77777777" w:rsidR="006F1CFB" w:rsidRDefault="00CB299E">
      <w:p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b/>
          <w:color w:val="0D0D0D"/>
          <w:highlight w:val="white"/>
        </w:rPr>
        <w:t>ARTÍCULO 3. LINEAMIENTOS</w:t>
      </w:r>
      <w:r>
        <w:rPr>
          <w:rFonts w:ascii="Times New Roman" w:eastAsia="Times New Roman" w:hAnsi="Times New Roman" w:cs="Times New Roman"/>
          <w:b/>
          <w:color w:val="333333"/>
        </w:rPr>
        <w:t>:</w:t>
      </w:r>
      <w:r>
        <w:rPr>
          <w:rFonts w:ascii="Times New Roman" w:eastAsia="Times New Roman" w:hAnsi="Times New Roman" w:cs="Times New Roman"/>
          <w:color w:val="333333"/>
        </w:rPr>
        <w:t xml:space="preserve"> La </w:t>
      </w:r>
      <w:r>
        <w:rPr>
          <w:rFonts w:ascii="Times New Roman" w:eastAsia="Times New Roman" w:hAnsi="Times New Roman" w:cs="Times New Roman"/>
          <w:color w:val="333333"/>
          <w:highlight w:val="white"/>
        </w:rPr>
        <w:t xml:space="preserve">Administración Distrital a través de la Secretaría Distrital de Integración Social, Secretaría Distrital de Seguridad, Secretaria Distrital de Educación, Secretaría Distrital de Salud,  Secretaría Distrital de Desarrollo Económico, Agencia de Analítica de Datos </w:t>
      </w:r>
      <w:r>
        <w:rPr>
          <w:rFonts w:ascii="Times New Roman" w:eastAsia="Times New Roman" w:hAnsi="Times New Roman" w:cs="Times New Roman"/>
          <w:i/>
          <w:color w:val="333333"/>
          <w:highlight w:val="white"/>
        </w:rPr>
        <w:t>“Ágata”</w:t>
      </w:r>
      <w:r>
        <w:rPr>
          <w:rFonts w:ascii="Times New Roman" w:eastAsia="Times New Roman" w:hAnsi="Times New Roman" w:cs="Times New Roman"/>
          <w:color w:val="333333"/>
          <w:highlight w:val="white"/>
        </w:rPr>
        <w:t xml:space="preserve"> y la  Oficina Consejería Distrital de Tecnologías de la Información y las Comunicaciones -TIC</w:t>
      </w:r>
      <w:r>
        <w:rPr>
          <w:rFonts w:ascii="Times New Roman" w:eastAsia="Times New Roman" w:hAnsi="Times New Roman" w:cs="Times New Roman"/>
          <w:i/>
          <w:color w:val="333333"/>
          <w:highlight w:val="white"/>
        </w:rPr>
        <w:t>,</w:t>
      </w:r>
      <w:r>
        <w:rPr>
          <w:rFonts w:ascii="Times New Roman" w:eastAsia="Times New Roman" w:hAnsi="Times New Roman" w:cs="Times New Roman"/>
          <w:color w:val="333333"/>
          <w:highlight w:val="white"/>
        </w:rPr>
        <w:t xml:space="preserve">  y con el apoyo de la Comisión de Transformación Digital del Distrito Capital, seguirá los parámetros establecidos en el Plan Distrital de Desarrollo, teniendo en cuenta los siguientes lineamientos:</w:t>
      </w:r>
    </w:p>
    <w:p w14:paraId="1E756F26" w14:textId="77777777" w:rsidR="006F1CFB" w:rsidRDefault="006F1CFB">
      <w:pPr>
        <w:shd w:val="clear" w:color="auto" w:fill="FFFFFF"/>
        <w:spacing w:line="276" w:lineRule="auto"/>
        <w:jc w:val="both"/>
        <w:rPr>
          <w:rFonts w:ascii="Times New Roman" w:eastAsia="Times New Roman" w:hAnsi="Times New Roman" w:cs="Times New Roman"/>
          <w:color w:val="333333"/>
        </w:rPr>
      </w:pPr>
    </w:p>
    <w:p w14:paraId="1A35BC08"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Cumplir los criterios de desarrollo de la IA que son: crecimiento inclusivo, beneficiar a los ciudadanos, respetar los derechos humanos y de los niños, niñas y adolescentes con valores éticos, democráticos, transparencia, protección de datos,  seguridad y responsabilidad.</w:t>
      </w:r>
    </w:p>
    <w:p w14:paraId="1A7B2D5D"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Definir el modelo de gobernanza de los datos.</w:t>
      </w:r>
    </w:p>
    <w:p w14:paraId="028813F1"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Diseñar y ejecutar el plan de trabajo de implementación de Inteligencia Artificial, acorde a la normatividad que rige la materia.</w:t>
      </w:r>
    </w:p>
    <w:p w14:paraId="3971BF25"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Categorizar los riesgos y notificar a las autoridades competentes para la acción inmediata.</w:t>
      </w:r>
    </w:p>
    <w:p w14:paraId="5BBEC9EE"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Implementar canales de reporte oportuno de casos de explotación y abuso, dirigidos específicamente a la protección de niñas, niños y adolescentes, con el fin de asegurar su pronta atención.</w:t>
      </w:r>
    </w:p>
    <w:p w14:paraId="415597FC"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Promover espacios virtuales de denuncia preliminar por parte de los ciudadanos.</w:t>
      </w:r>
    </w:p>
    <w:p w14:paraId="0BB4874D"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Respetar las garantías de privacidad y protección de datos de acuerdo a la ley.</w:t>
      </w:r>
    </w:p>
    <w:p w14:paraId="27B745E7"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Desarrollar reportes periódicos sobre la eficacia del sistema, incluyendo estadísticas de detección y acciones de prevención tomadas por las entidades.</w:t>
      </w:r>
    </w:p>
    <w:p w14:paraId="3D0179D9"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Evaluación del impacto ético del uso de Inteligencia Artificial.</w:t>
      </w:r>
    </w:p>
    <w:p w14:paraId="7CAC45E2"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Impulsar la cooperación interinstitucional con entidades distritales, nacionales, internacionales y  ONG involucradas en el tema.</w:t>
      </w:r>
    </w:p>
    <w:p w14:paraId="7801D6F3"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Realizar alianzas estratégicas con plataformas de internet: buscadores, redes sociales entre otros actores del entorno digital.</w:t>
      </w:r>
    </w:p>
    <w:p w14:paraId="79A01F09" w14:textId="77777777" w:rsidR="006F1CFB" w:rsidRDefault="00CB299E">
      <w:pPr>
        <w:numPr>
          <w:ilvl w:val="0"/>
          <w:numId w:val="5"/>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Adelantar alianzas estratégicas con universidades y centros de desarrollo de inteligencia artificial de la ciudad.</w:t>
      </w:r>
    </w:p>
    <w:p w14:paraId="0ED398BB" w14:textId="77777777" w:rsidR="006F1CFB" w:rsidRDefault="006F1CFB">
      <w:pPr>
        <w:shd w:val="clear" w:color="auto" w:fill="FFFFFF"/>
        <w:spacing w:line="276" w:lineRule="auto"/>
        <w:jc w:val="both"/>
        <w:rPr>
          <w:rFonts w:ascii="Times New Roman" w:eastAsia="Times New Roman" w:hAnsi="Times New Roman" w:cs="Times New Roman"/>
          <w:color w:val="333333"/>
        </w:rPr>
      </w:pPr>
    </w:p>
    <w:p w14:paraId="6696E62B" w14:textId="77777777" w:rsidR="006F1CFB" w:rsidRDefault="00CB299E">
      <w:pPr>
        <w:shd w:val="clear" w:color="auto" w:fill="FFFFFF"/>
        <w:spacing w:line="276" w:lineRule="auto"/>
        <w:jc w:val="both"/>
        <w:rPr>
          <w:rFonts w:ascii="Times New Roman" w:eastAsia="Times New Roman" w:hAnsi="Times New Roman" w:cs="Times New Roman"/>
          <w:color w:val="333333"/>
        </w:rPr>
      </w:pPr>
      <w:r>
        <w:rPr>
          <w:rFonts w:ascii="Times New Roman" w:eastAsia="Times New Roman" w:hAnsi="Times New Roman" w:cs="Times New Roman"/>
          <w:b/>
          <w:color w:val="0D0D0D"/>
          <w:highlight w:val="white"/>
        </w:rPr>
        <w:t>ARTÍCULO 4. ARTICULACIÓN:</w:t>
      </w:r>
      <w:r>
        <w:rPr>
          <w:rFonts w:ascii="Times New Roman" w:eastAsia="Times New Roman" w:hAnsi="Times New Roman" w:cs="Times New Roman"/>
          <w:b/>
          <w:color w:val="333333"/>
        </w:rPr>
        <w:t xml:space="preserve"> </w:t>
      </w:r>
      <w:r>
        <w:rPr>
          <w:rFonts w:ascii="Times New Roman" w:eastAsia="Times New Roman" w:hAnsi="Times New Roman" w:cs="Times New Roman"/>
          <w:color w:val="333333"/>
        </w:rPr>
        <w:t>La Administración Distrital, en cabeza de Consejeria Distrital TIC desarrollará estrategias de articulación de las diferentes herramientas de información existentes con el objetivo de unificar y estandarizar los parámetros de análisis de la información, asi como la implementación de un observatorio de información de explotación y abuso sexual infantil.</w:t>
      </w:r>
    </w:p>
    <w:p w14:paraId="4608EE37" w14:textId="77777777" w:rsidR="006F1CFB" w:rsidRDefault="006F1CFB">
      <w:pPr>
        <w:shd w:val="clear" w:color="auto" w:fill="FFFFFF"/>
        <w:spacing w:line="276" w:lineRule="auto"/>
        <w:jc w:val="both"/>
        <w:rPr>
          <w:rFonts w:ascii="Times New Roman" w:eastAsia="Times New Roman" w:hAnsi="Times New Roman" w:cs="Times New Roman"/>
          <w:color w:val="333333"/>
        </w:rPr>
      </w:pPr>
    </w:p>
    <w:p w14:paraId="5FA791B7" w14:textId="77777777" w:rsidR="006F1CFB" w:rsidRDefault="00CB299E">
      <w:pPr>
        <w:shd w:val="clear" w:color="auto" w:fill="FFFFFF"/>
        <w:spacing w:line="276" w:lineRule="auto"/>
        <w:jc w:val="both"/>
        <w:rPr>
          <w:rFonts w:ascii="Times New Roman" w:eastAsia="Times New Roman" w:hAnsi="Times New Roman" w:cs="Times New Roman"/>
          <w:color w:val="333333"/>
        </w:rPr>
      </w:pPr>
      <w:r>
        <w:rPr>
          <w:rFonts w:ascii="Times New Roman" w:eastAsia="Times New Roman" w:hAnsi="Times New Roman" w:cs="Times New Roman"/>
          <w:b/>
          <w:color w:val="0D0D0D"/>
          <w:highlight w:val="white"/>
        </w:rPr>
        <w:t>PARÁGRAFO.</w:t>
      </w:r>
      <w:r>
        <w:rPr>
          <w:rFonts w:ascii="Times New Roman" w:eastAsia="Times New Roman" w:hAnsi="Times New Roman" w:cs="Times New Roman"/>
          <w:color w:val="333333"/>
        </w:rPr>
        <w:t xml:space="preserve"> La Administración Distrital, en cabeza de la Secretaría Distrital de Integración Social y la Consejeria Distrital TIC, fijará los parámetros de articulación con otras herramientas de información desarrolladas en el Distrito entorno a la violencia sexual infantil, abuso sexual infantil, explotación sexual infantil.</w:t>
      </w:r>
    </w:p>
    <w:p w14:paraId="3A8DFC3D" w14:textId="77777777" w:rsidR="006F1CFB" w:rsidRDefault="006F1CFB">
      <w:pPr>
        <w:shd w:val="clear" w:color="auto" w:fill="FFFFFF"/>
        <w:spacing w:line="276" w:lineRule="auto"/>
        <w:jc w:val="both"/>
        <w:rPr>
          <w:rFonts w:ascii="Times New Roman" w:eastAsia="Times New Roman" w:hAnsi="Times New Roman" w:cs="Times New Roman"/>
          <w:b/>
          <w:color w:val="0D0D0D"/>
          <w:highlight w:val="white"/>
        </w:rPr>
      </w:pPr>
    </w:p>
    <w:p w14:paraId="74127311" w14:textId="77777777" w:rsidR="006F1CFB" w:rsidRDefault="00CB299E">
      <w:p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b/>
          <w:color w:val="0D0D0D"/>
          <w:highlight w:val="white"/>
        </w:rPr>
        <w:t>ARTÍCULO 5. IMPLEMENTACIÓN</w:t>
      </w:r>
      <w:r>
        <w:rPr>
          <w:rFonts w:ascii="Times New Roman" w:eastAsia="Times New Roman" w:hAnsi="Times New Roman" w:cs="Times New Roman"/>
          <w:b/>
          <w:color w:val="333333"/>
        </w:rPr>
        <w:t xml:space="preserve">: </w:t>
      </w:r>
      <w:r>
        <w:rPr>
          <w:rFonts w:ascii="Times New Roman" w:eastAsia="Times New Roman" w:hAnsi="Times New Roman" w:cs="Times New Roman"/>
          <w:color w:val="333333"/>
        </w:rPr>
        <w:t>El presente acuerdo establece un plazo de doce (12) meses para la implementación d</w:t>
      </w:r>
      <w:r>
        <w:rPr>
          <w:rFonts w:ascii="Times New Roman" w:eastAsia="Times New Roman" w:hAnsi="Times New Roman" w:cs="Times New Roman"/>
          <w:color w:val="333333"/>
          <w:highlight w:val="white"/>
        </w:rPr>
        <w:t>el uso de  Inteligencia Artificial para la prevención del abuso sexual y explotación de los niños, niñas y adolescentes del Distrito Capital. Resultado de esta implementación se deberá tener como mínimo:</w:t>
      </w:r>
    </w:p>
    <w:p w14:paraId="02D55B40" w14:textId="77777777" w:rsidR="006F1CFB" w:rsidRDefault="006F1CFB">
      <w:pPr>
        <w:shd w:val="clear" w:color="auto" w:fill="FFFFFF"/>
        <w:spacing w:line="276" w:lineRule="auto"/>
        <w:jc w:val="both"/>
        <w:rPr>
          <w:rFonts w:ascii="Times New Roman" w:eastAsia="Times New Roman" w:hAnsi="Times New Roman" w:cs="Times New Roman"/>
          <w:color w:val="333333"/>
          <w:highlight w:val="white"/>
        </w:rPr>
      </w:pPr>
    </w:p>
    <w:p w14:paraId="4E1A5455" w14:textId="77777777" w:rsidR="006F1CFB" w:rsidRDefault="00CB299E">
      <w:pPr>
        <w:numPr>
          <w:ilvl w:val="0"/>
          <w:numId w:val="1"/>
        </w:numPr>
        <w:shd w:val="clear" w:color="auto" w:fill="FFFFFF"/>
        <w:spacing w:line="276"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0D0D0D"/>
          <w:highlight w:val="white"/>
        </w:rPr>
        <w:t>El reporte de análisis de los casos o alertas de explotación y abuso sexual que se evidencien en los diferentes sistemas de información y de observatorios del distrito de niños, niñas y adolescentes, en los términos establecidos en el presente acuerdo.</w:t>
      </w:r>
    </w:p>
    <w:p w14:paraId="63220F8E" w14:textId="77777777" w:rsidR="006F1CFB" w:rsidRDefault="00CB299E">
      <w:pPr>
        <w:numPr>
          <w:ilvl w:val="0"/>
          <w:numId w:val="1"/>
        </w:numPr>
        <w:shd w:val="clear" w:color="auto" w:fill="FFFFFF"/>
        <w:spacing w:line="276" w:lineRule="auto"/>
        <w:jc w:val="both"/>
        <w:rPr>
          <w:rFonts w:ascii="Times New Roman" w:eastAsia="Times New Roman" w:hAnsi="Times New Roman" w:cs="Times New Roman"/>
          <w:color w:val="0D0D0D"/>
          <w:highlight w:val="white"/>
        </w:rPr>
      </w:pPr>
      <w:r>
        <w:rPr>
          <w:rFonts w:ascii="Times New Roman" w:eastAsia="Times New Roman" w:hAnsi="Times New Roman" w:cs="Times New Roman"/>
          <w:color w:val="0D0D0D"/>
          <w:highlight w:val="white"/>
        </w:rPr>
        <w:t>Identificación de patrones de explotación y abuso sexual infantil en la red.</w:t>
      </w:r>
    </w:p>
    <w:p w14:paraId="2CBBA0CA" w14:textId="77777777" w:rsidR="006F1CFB" w:rsidRDefault="00CB299E">
      <w:pPr>
        <w:numPr>
          <w:ilvl w:val="0"/>
          <w:numId w:val="1"/>
        </w:numPr>
        <w:shd w:val="clear" w:color="auto" w:fill="FFFFFF"/>
        <w:spacing w:line="276" w:lineRule="auto"/>
        <w:jc w:val="both"/>
        <w:rPr>
          <w:rFonts w:ascii="Times New Roman" w:eastAsia="Times New Roman" w:hAnsi="Times New Roman" w:cs="Times New Roman"/>
          <w:color w:val="0D0D0D"/>
          <w:highlight w:val="white"/>
        </w:rPr>
      </w:pPr>
      <w:r>
        <w:rPr>
          <w:rFonts w:ascii="Times New Roman" w:eastAsia="Times New Roman" w:hAnsi="Times New Roman" w:cs="Times New Roman"/>
          <w:color w:val="0D0D0D"/>
          <w:highlight w:val="white"/>
        </w:rPr>
        <w:t>Diseño e implementación de la Ruta de Atención y Reporte a las entidades competentes (RAR), de todos los  casos y/o alertas de explotación y abuso sexual y  delitos cibernéticos.</w:t>
      </w:r>
    </w:p>
    <w:p w14:paraId="351435EF" w14:textId="77777777" w:rsidR="006F1CFB" w:rsidRDefault="006F1CFB">
      <w:pPr>
        <w:shd w:val="clear" w:color="auto" w:fill="FFFFFF"/>
        <w:spacing w:line="276" w:lineRule="auto"/>
        <w:jc w:val="both"/>
        <w:rPr>
          <w:rFonts w:ascii="Times New Roman" w:eastAsia="Times New Roman" w:hAnsi="Times New Roman" w:cs="Times New Roman"/>
          <w:color w:val="333333"/>
        </w:rPr>
      </w:pPr>
    </w:p>
    <w:p w14:paraId="6365CF6A" w14:textId="77777777" w:rsidR="006F1CFB" w:rsidRDefault="00CB299E">
      <w:pPr>
        <w:shd w:val="clear" w:color="auto" w:fill="FFFFFF"/>
        <w:spacing w:line="276" w:lineRule="auto"/>
        <w:jc w:val="both"/>
        <w:rPr>
          <w:rFonts w:ascii="Times New Roman" w:eastAsia="Times New Roman" w:hAnsi="Times New Roman" w:cs="Times New Roman"/>
          <w:color w:val="333333"/>
        </w:rPr>
      </w:pPr>
      <w:r>
        <w:rPr>
          <w:rFonts w:ascii="Times New Roman" w:eastAsia="Times New Roman" w:hAnsi="Times New Roman" w:cs="Times New Roman"/>
          <w:b/>
          <w:color w:val="0D0D0D"/>
          <w:highlight w:val="white"/>
        </w:rPr>
        <w:t>ARTÍCULO 6. VIGENCIA</w:t>
      </w:r>
      <w:r>
        <w:rPr>
          <w:rFonts w:ascii="Times New Roman" w:eastAsia="Times New Roman" w:hAnsi="Times New Roman" w:cs="Times New Roman"/>
          <w:b/>
          <w:color w:val="333333"/>
        </w:rPr>
        <w:t xml:space="preserve">. </w:t>
      </w:r>
      <w:r>
        <w:rPr>
          <w:rFonts w:ascii="Times New Roman" w:eastAsia="Times New Roman" w:hAnsi="Times New Roman" w:cs="Times New Roman"/>
          <w:color w:val="333333"/>
        </w:rPr>
        <w:t>El presente acuerdo rige a partir de la fecha de su publicación.</w:t>
      </w:r>
    </w:p>
    <w:p w14:paraId="53D2FB2F" w14:textId="77777777" w:rsidR="006F1CFB" w:rsidRDefault="006F1CFB">
      <w:pPr>
        <w:shd w:val="clear" w:color="auto" w:fill="FFFFFF"/>
        <w:spacing w:line="276" w:lineRule="auto"/>
        <w:jc w:val="both"/>
        <w:rPr>
          <w:rFonts w:ascii="Times New Roman" w:eastAsia="Times New Roman" w:hAnsi="Times New Roman" w:cs="Times New Roman"/>
          <w:color w:val="333333"/>
        </w:rPr>
      </w:pPr>
    </w:p>
    <w:p w14:paraId="5FFB2692" w14:textId="77777777" w:rsidR="006F1CFB" w:rsidRDefault="006F1CFB">
      <w:pPr>
        <w:shd w:val="clear" w:color="auto" w:fill="FFFFFF"/>
        <w:spacing w:line="276" w:lineRule="auto"/>
        <w:jc w:val="both"/>
        <w:rPr>
          <w:rFonts w:ascii="Times New Roman" w:eastAsia="Times New Roman" w:hAnsi="Times New Roman" w:cs="Times New Roman"/>
          <w:color w:val="333333"/>
        </w:rPr>
      </w:pPr>
    </w:p>
    <w:p w14:paraId="4103897A" w14:textId="77777777" w:rsidR="006F1CFB" w:rsidRDefault="006F1CFB">
      <w:pPr>
        <w:tabs>
          <w:tab w:val="left" w:pos="284"/>
        </w:tabs>
        <w:spacing w:line="276" w:lineRule="auto"/>
        <w:rPr>
          <w:b/>
          <w:sz w:val="22"/>
          <w:szCs w:val="22"/>
        </w:rPr>
      </w:pPr>
    </w:p>
    <w:sectPr w:rsidR="006F1CFB">
      <w:headerReference w:type="default" r:id="rId13"/>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C6F7C3" w14:textId="77777777" w:rsidR="00177EC0" w:rsidRDefault="00177EC0">
      <w:r>
        <w:separator/>
      </w:r>
    </w:p>
  </w:endnote>
  <w:endnote w:type="continuationSeparator" w:id="0">
    <w:p w14:paraId="0A85C8AD" w14:textId="77777777" w:rsidR="00177EC0" w:rsidRDefault="00177E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01890547-A930-4E7A-92A3-8F6A750ADF6D}"/>
    <w:embedBold r:id="rId2" w:fontKey="{54ACEC33-9408-4433-B356-584EB5446DEE}"/>
    <w:embedBoldItalic r:id="rId3" w:fontKey="{289000A2-4002-43BF-AB43-A8FAFA9286EF}"/>
  </w:font>
  <w:font w:name="Calibri">
    <w:panose1 w:val="020F0502020204030204"/>
    <w:charset w:val="00"/>
    <w:family w:val="swiss"/>
    <w:pitch w:val="variable"/>
    <w:sig w:usb0="E4002EFF" w:usb1="C000247B" w:usb2="00000009" w:usb3="00000000" w:csb0="000001FF" w:csb1="00000000"/>
    <w:embedRegular r:id="rId4" w:fontKey="{20264231-CDD2-4683-BD40-4D1674C2CBF3}"/>
    <w:embedBold r:id="rId5" w:fontKey="{862D04D7-52A8-4384-AFA3-B32781AB9376}"/>
  </w:font>
  <w:font w:name="Tahoma">
    <w:panose1 w:val="020B0604030504040204"/>
    <w:charset w:val="00"/>
    <w:family w:val="swiss"/>
    <w:pitch w:val="variable"/>
    <w:sig w:usb0="E1002EFF" w:usb1="C000605B" w:usb2="00000029" w:usb3="00000000" w:csb0="000101FF" w:csb1="00000000"/>
    <w:embedRegular r:id="rId6" w:fontKey="{D9A3CBED-8881-4F83-8C0C-86931306E8FA}"/>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penSymbol">
    <w:panose1 w:val="00000000000000000000"/>
    <w:charset w:val="00"/>
    <w:family w:val="roman"/>
    <w:notTrueType/>
    <w:pitch w:val="default"/>
  </w:font>
  <w:font w:name="FreeSans">
    <w:panose1 w:val="00000000000000000000"/>
    <w:charset w:val="00"/>
    <w:family w:val="roman"/>
    <w:notTrueType/>
    <w:pitch w:val="default"/>
  </w:font>
  <w:font w:name="Liberation Sans">
    <w:panose1 w:val="00000000000000000000"/>
    <w:charset w:val="00"/>
    <w:family w:val="roman"/>
    <w:notTrueType/>
    <w:pitch w:val="default"/>
  </w:font>
  <w:font w:name="Droid Sans Fallback">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7" w:fontKey="{3A056BDD-5844-4CC6-AD54-8175147D624C}"/>
  </w:font>
  <w:font w:name="¹Å">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embedBoldItalic r:id="rId8" w:fontKey="{1F81A58F-60EA-41DD-B44B-A8AB79216E63}"/>
  </w:font>
  <w:font w:name="Roboto">
    <w:altName w:val="Times New Roman"/>
    <w:charset w:val="00"/>
    <w:family w:val="auto"/>
    <w:pitch w:val="variable"/>
    <w:sig w:usb0="E00002EF" w:usb1="5000205B" w:usb2="0000002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D12EE7" w14:textId="77777777" w:rsidR="00177EC0" w:rsidRDefault="00177EC0">
      <w:r>
        <w:separator/>
      </w:r>
    </w:p>
  </w:footnote>
  <w:footnote w:type="continuationSeparator" w:id="0">
    <w:p w14:paraId="52390FA0" w14:textId="77777777" w:rsidR="00177EC0" w:rsidRDefault="00177EC0">
      <w:r>
        <w:continuationSeparator/>
      </w:r>
    </w:p>
  </w:footnote>
  <w:footnote w:id="1">
    <w:p w14:paraId="7E723267" w14:textId="77777777" w:rsidR="006F1CFB" w:rsidRDefault="00CB299E">
      <w:pPr>
        <w:rPr>
          <w:sz w:val="20"/>
          <w:szCs w:val="20"/>
        </w:rPr>
      </w:pPr>
      <w:r>
        <w:rPr>
          <w:vertAlign w:val="superscript"/>
        </w:rPr>
        <w:footnoteRef/>
      </w:r>
      <w:r>
        <w:rPr>
          <w:sz w:val="20"/>
          <w:szCs w:val="20"/>
        </w:rPr>
        <w:t xml:space="preserve"> Decreto 1263 de 2022 </w:t>
      </w:r>
      <w:hyperlink r:id="rId1">
        <w:r>
          <w:rPr>
            <w:color w:val="1155CC"/>
            <w:sz w:val="20"/>
            <w:szCs w:val="20"/>
            <w:u w:val="single"/>
          </w:rPr>
          <w:t>https://www.alcaldiabogota.gov.co/sisjur/normas/Norma1.jsp?i=125758</w:t>
        </w:r>
      </w:hyperlink>
    </w:p>
    <w:p w14:paraId="7E048649" w14:textId="77777777" w:rsidR="006F1CFB" w:rsidRDefault="006F1CFB">
      <w:pPr>
        <w:rPr>
          <w:sz w:val="20"/>
          <w:szCs w:val="20"/>
        </w:rPr>
      </w:pPr>
    </w:p>
  </w:footnote>
  <w:footnote w:id="2">
    <w:p w14:paraId="0EA0A744" w14:textId="77777777" w:rsidR="006F1CFB" w:rsidRDefault="00CB299E">
      <w:pPr>
        <w:rPr>
          <w:sz w:val="20"/>
          <w:szCs w:val="20"/>
        </w:rPr>
      </w:pPr>
      <w:r>
        <w:rPr>
          <w:vertAlign w:val="superscript"/>
        </w:rPr>
        <w:footnoteRef/>
      </w:r>
      <w:r>
        <w:rPr>
          <w:sz w:val="16"/>
          <w:szCs w:val="16"/>
        </w:rPr>
        <w:t xml:space="preserve"> </w:t>
      </w:r>
      <w:r>
        <w:rPr>
          <w:color w:val="333333"/>
          <w:sz w:val="16"/>
          <w:szCs w:val="16"/>
          <w:highlight w:val="white"/>
        </w:rPr>
        <w:t xml:space="preserve">Hoja de Ruta para el desarrollo y aplicación de la Inteligencia Artificial en Colombia </w:t>
      </w:r>
      <w:r>
        <w:rPr>
          <w:sz w:val="16"/>
          <w:szCs w:val="16"/>
        </w:rPr>
        <w:t>https://minciencias.gov.co/sites/default/files/upload/noticias/hoja_de_ruta_adopcion_etica_y_sostenible_de_inteligencia_artificial_colombia_0.pd</w:t>
      </w:r>
      <w:r>
        <w:rPr>
          <w:sz w:val="20"/>
          <w:szCs w:val="20"/>
        </w:rPr>
        <w:t>f</w:t>
      </w:r>
    </w:p>
  </w:footnote>
  <w:footnote w:id="3">
    <w:p w14:paraId="443DA236" w14:textId="77777777" w:rsidR="006F1CFB" w:rsidRDefault="00CB299E">
      <w:pPr>
        <w:rPr>
          <w:sz w:val="20"/>
          <w:szCs w:val="20"/>
        </w:rPr>
      </w:pPr>
      <w:r>
        <w:rPr>
          <w:vertAlign w:val="superscript"/>
        </w:rPr>
        <w:footnoteRef/>
      </w:r>
      <w:r>
        <w:rPr>
          <w:sz w:val="20"/>
          <w:szCs w:val="20"/>
        </w:rPr>
        <w:t xml:space="preserve"> </w:t>
      </w:r>
      <w:hyperlink r:id="rId2">
        <w:r>
          <w:rPr>
            <w:color w:val="1155CC"/>
            <w:sz w:val="20"/>
            <w:szCs w:val="20"/>
            <w:u w:val="single"/>
          </w:rPr>
          <w:t>https://www.alcaldiabogota.gov.co/sisjur/normas/Norma1.jsp?i=117686&amp;dt=S</w:t>
        </w:r>
      </w:hyperlink>
    </w:p>
    <w:p w14:paraId="0B84C88A" w14:textId="77777777" w:rsidR="006F1CFB" w:rsidRDefault="006F1CFB">
      <w:pPr>
        <w:rPr>
          <w:sz w:val="20"/>
          <w:szCs w:val="20"/>
        </w:rPr>
      </w:pPr>
    </w:p>
  </w:footnote>
  <w:footnote w:id="4">
    <w:p w14:paraId="000DFE39" w14:textId="77777777" w:rsidR="006F1CFB" w:rsidRDefault="00CB299E">
      <w:pPr>
        <w:rPr>
          <w:sz w:val="20"/>
          <w:szCs w:val="20"/>
        </w:rPr>
      </w:pPr>
      <w:r>
        <w:rPr>
          <w:vertAlign w:val="superscript"/>
        </w:rPr>
        <w:footnoteRef/>
      </w:r>
      <w:r>
        <w:rPr>
          <w:sz w:val="20"/>
          <w:szCs w:val="20"/>
        </w:rPr>
        <w:t xml:space="preserve"> Acuerdo 365 de 2009 </w:t>
      </w:r>
      <w:hyperlink r:id="rId3">
        <w:r>
          <w:rPr>
            <w:color w:val="1155CC"/>
            <w:sz w:val="20"/>
            <w:szCs w:val="20"/>
            <w:u w:val="single"/>
          </w:rPr>
          <w:t>https://www.alcaldiabogota.gov.co/sisjur/normas/Norma1.jsp?i=35788&amp;dt=S</w:t>
        </w:r>
      </w:hyperlink>
    </w:p>
    <w:p w14:paraId="33DE8B01" w14:textId="77777777" w:rsidR="006F1CFB" w:rsidRDefault="006F1CFB">
      <w:pPr>
        <w:rPr>
          <w:sz w:val="20"/>
          <w:szCs w:val="20"/>
        </w:rPr>
      </w:pPr>
    </w:p>
  </w:footnote>
  <w:footnote w:id="5">
    <w:p w14:paraId="7B8764FA" w14:textId="77777777" w:rsidR="006F1CFB" w:rsidRDefault="00CB299E">
      <w:pPr>
        <w:rPr>
          <w:sz w:val="20"/>
          <w:szCs w:val="20"/>
        </w:rPr>
      </w:pPr>
      <w:r>
        <w:rPr>
          <w:vertAlign w:val="superscript"/>
        </w:rPr>
        <w:footnoteRef/>
      </w:r>
      <w:r>
        <w:rPr>
          <w:sz w:val="20"/>
          <w:szCs w:val="20"/>
        </w:rPr>
        <w:t xml:space="preserve"> </w:t>
      </w:r>
      <w:hyperlink r:id="rId4">
        <w:r>
          <w:rPr>
            <w:color w:val="1155CC"/>
            <w:sz w:val="20"/>
            <w:szCs w:val="20"/>
            <w:u w:val="single"/>
          </w:rPr>
          <w:t>https://www.alcaldiabogota.gov.co/sisjur/normas/Norma1.jsp?i=152535&amp;dt=S</w:t>
        </w:r>
      </w:hyperlink>
    </w:p>
    <w:p w14:paraId="1439BA77" w14:textId="77777777" w:rsidR="006F1CFB" w:rsidRDefault="006F1CFB">
      <w:pPr>
        <w:rPr>
          <w:sz w:val="20"/>
          <w:szCs w:val="20"/>
        </w:rPr>
      </w:pPr>
    </w:p>
  </w:footnote>
  <w:footnote w:id="6">
    <w:p w14:paraId="05B33370" w14:textId="77777777" w:rsidR="006F1CFB" w:rsidRDefault="00CB299E">
      <w:pPr>
        <w:rPr>
          <w:sz w:val="20"/>
          <w:szCs w:val="20"/>
        </w:rPr>
      </w:pPr>
      <w:r>
        <w:rPr>
          <w:vertAlign w:val="superscript"/>
        </w:rPr>
        <w:footnoteRef/>
      </w:r>
      <w:r>
        <w:rPr>
          <w:sz w:val="20"/>
          <w:szCs w:val="20"/>
        </w:rPr>
        <w:t xml:space="preserve"> </w:t>
      </w:r>
      <w:hyperlink r:id="rId5">
        <w:r>
          <w:rPr>
            <w:color w:val="1155CC"/>
            <w:sz w:val="20"/>
            <w:szCs w:val="20"/>
            <w:u w:val="single"/>
          </w:rPr>
          <w:t>https://sisjur.bogotajuridica.gov.co/sisjur/normas/Norma1.jsp?i=155699</w:t>
        </w:r>
      </w:hyperlink>
    </w:p>
    <w:p w14:paraId="46C8F8C0" w14:textId="77777777" w:rsidR="006F1CFB" w:rsidRDefault="006F1CFB">
      <w:pPr>
        <w:rPr>
          <w:sz w:val="20"/>
          <w:szCs w:val="20"/>
        </w:rPr>
      </w:pPr>
    </w:p>
  </w:footnote>
  <w:footnote w:id="7">
    <w:p w14:paraId="26FBA5E8" w14:textId="77777777" w:rsidR="006F1CFB" w:rsidRDefault="00CB299E">
      <w:pPr>
        <w:rPr>
          <w:sz w:val="20"/>
          <w:szCs w:val="20"/>
        </w:rPr>
      </w:pPr>
      <w:r>
        <w:rPr>
          <w:vertAlign w:val="superscript"/>
        </w:rPr>
        <w:footnoteRef/>
      </w:r>
      <w:r>
        <w:rPr>
          <w:sz w:val="20"/>
          <w:szCs w:val="20"/>
        </w:rPr>
        <w:t xml:space="preserve"> </w:t>
      </w:r>
      <w:hyperlink r:id="rId6">
        <w:r>
          <w:rPr>
            <w:color w:val="1155CC"/>
            <w:sz w:val="20"/>
            <w:szCs w:val="20"/>
            <w:u w:val="single"/>
          </w:rPr>
          <w:t>https://www.alcaldiabogota.gov.co/sisjur/normas/Norma1.jsp?i=102967</w:t>
        </w:r>
      </w:hyperlink>
    </w:p>
    <w:p w14:paraId="1F188C0D" w14:textId="77777777" w:rsidR="006F1CFB" w:rsidRDefault="006F1CFB">
      <w:pPr>
        <w:rPr>
          <w:sz w:val="20"/>
          <w:szCs w:val="20"/>
        </w:rPr>
      </w:pPr>
    </w:p>
  </w:footnote>
  <w:footnote w:id="8">
    <w:p w14:paraId="0BC18F3D" w14:textId="77777777" w:rsidR="006F1CFB" w:rsidRDefault="00CB299E">
      <w:pPr>
        <w:rPr>
          <w:sz w:val="20"/>
          <w:szCs w:val="20"/>
        </w:rPr>
      </w:pPr>
      <w:r>
        <w:rPr>
          <w:vertAlign w:val="superscript"/>
        </w:rPr>
        <w:footnoteRef/>
      </w:r>
      <w:r>
        <w:rPr>
          <w:sz w:val="20"/>
          <w:szCs w:val="20"/>
        </w:rPr>
        <w:t xml:space="preserve"> Respuesta derecho de petición 14 de Agosto - Agencia Analitica de Datos</w:t>
      </w:r>
    </w:p>
  </w:footnote>
  <w:footnote w:id="9">
    <w:p w14:paraId="1BA0D9B3" w14:textId="77777777" w:rsidR="006F1CFB" w:rsidRDefault="00CB299E">
      <w:pPr>
        <w:rPr>
          <w:sz w:val="20"/>
          <w:szCs w:val="20"/>
        </w:rPr>
      </w:pPr>
      <w:r>
        <w:rPr>
          <w:vertAlign w:val="superscript"/>
        </w:rPr>
        <w:footnoteRef/>
      </w:r>
      <w:hyperlink r:id="rId7">
        <w:r>
          <w:rPr>
            <w:color w:val="1155CC"/>
            <w:sz w:val="20"/>
            <w:szCs w:val="20"/>
            <w:u w:val="single"/>
          </w:rPr>
          <w:t>https://www.oecd.org/espanol/noticias/cuarentaydospaisesadoptanlosprincipiosdelaocdesobreinteligenciaartificial.htm</w:t>
        </w:r>
      </w:hyperlink>
    </w:p>
    <w:p w14:paraId="04CC66E5" w14:textId="77777777" w:rsidR="006F1CFB" w:rsidRDefault="006F1CFB">
      <w:pPr>
        <w:rPr>
          <w:sz w:val="20"/>
          <w:szCs w:val="20"/>
        </w:rPr>
      </w:pPr>
    </w:p>
  </w:footnote>
  <w:footnote w:id="10">
    <w:p w14:paraId="309421E1" w14:textId="77777777" w:rsidR="006F1CFB" w:rsidRDefault="00CB299E">
      <w:pPr>
        <w:rPr>
          <w:sz w:val="20"/>
          <w:szCs w:val="20"/>
        </w:rPr>
      </w:pPr>
      <w:r>
        <w:rPr>
          <w:vertAlign w:val="superscript"/>
        </w:rPr>
        <w:footnoteRef/>
      </w:r>
      <w:r>
        <w:rPr>
          <w:sz w:val="20"/>
          <w:szCs w:val="20"/>
        </w:rPr>
        <w:t xml:space="preserve"> Unicef (2021) proporciona orientación sobre el uso de la inteligencia artificial en favor de la infancia</w:t>
      </w:r>
    </w:p>
  </w:footnote>
  <w:footnote w:id="11">
    <w:p w14:paraId="3DE4818A" w14:textId="77777777" w:rsidR="006F1CFB" w:rsidRDefault="00CB299E">
      <w:pPr>
        <w:rPr>
          <w:sz w:val="20"/>
          <w:szCs w:val="20"/>
        </w:rPr>
      </w:pPr>
      <w:r>
        <w:rPr>
          <w:vertAlign w:val="superscript"/>
        </w:rPr>
        <w:footnoteRef/>
      </w:r>
      <w:r>
        <w:rPr>
          <w:sz w:val="20"/>
          <w:szCs w:val="20"/>
        </w:rPr>
        <w:t xml:space="preserve"> </w:t>
      </w:r>
      <w:hyperlink r:id="rId8">
        <w:r>
          <w:rPr>
            <w:color w:val="1155CC"/>
            <w:sz w:val="20"/>
            <w:szCs w:val="20"/>
            <w:u w:val="single"/>
          </w:rPr>
          <w:t>https://blog.google/intl/es-es/productos/informacion/2022_10_como-detectamos-eliminamos-y/</w:t>
        </w:r>
      </w:hyperlink>
    </w:p>
    <w:p w14:paraId="024A6BF2" w14:textId="77777777" w:rsidR="006F1CFB" w:rsidRDefault="006F1CFB">
      <w:pPr>
        <w:rPr>
          <w:sz w:val="20"/>
          <w:szCs w:val="20"/>
        </w:rPr>
      </w:pPr>
    </w:p>
  </w:footnote>
  <w:footnote w:id="12">
    <w:p w14:paraId="7C1BCA19" w14:textId="77777777" w:rsidR="006F1CFB" w:rsidRDefault="00CB299E">
      <w:pPr>
        <w:rPr>
          <w:sz w:val="20"/>
          <w:szCs w:val="20"/>
        </w:rPr>
      </w:pPr>
      <w:r>
        <w:rPr>
          <w:vertAlign w:val="superscript"/>
        </w:rPr>
        <w:footnoteRef/>
      </w:r>
      <w:r>
        <w:rPr>
          <w:sz w:val="20"/>
          <w:szCs w:val="20"/>
        </w:rPr>
        <w:t>https://news.microsoft.com/es-xl/proyecto-guacamaya-inteligencia-artificial-para-preservar-la-amazonia/</w:t>
      </w:r>
    </w:p>
  </w:footnote>
  <w:footnote w:id="13">
    <w:p w14:paraId="51252136" w14:textId="77777777" w:rsidR="006F1CFB" w:rsidRDefault="00CB299E">
      <w:pPr>
        <w:shd w:val="clear" w:color="auto" w:fill="FFFFFF"/>
        <w:spacing w:before="240" w:after="240" w:line="276" w:lineRule="auto"/>
        <w:jc w:val="both"/>
        <w:rPr>
          <w:sz w:val="20"/>
          <w:szCs w:val="20"/>
        </w:rPr>
      </w:pPr>
      <w:r>
        <w:rPr>
          <w:vertAlign w:val="superscript"/>
        </w:rPr>
        <w:footnoteRef/>
      </w:r>
      <w:r>
        <w:rPr>
          <w:rFonts w:ascii="Times New Roman" w:eastAsia="Times New Roman" w:hAnsi="Times New Roman" w:cs="Times New Roman"/>
          <w:color w:val="00000A"/>
          <w:highlight w:val="white"/>
        </w:rPr>
        <w:t>https://924.policia.gov.co/estadistica-delictiva</w:t>
      </w:r>
    </w:p>
  </w:footnote>
  <w:footnote w:id="14">
    <w:p w14:paraId="1877F640" w14:textId="77777777" w:rsidR="006F1CFB" w:rsidRDefault="00CB299E">
      <w:pPr>
        <w:shd w:val="clear" w:color="auto" w:fill="FFFFFF"/>
        <w:spacing w:before="240" w:after="240" w:line="276" w:lineRule="auto"/>
        <w:jc w:val="both"/>
        <w:rPr>
          <w:sz w:val="20"/>
          <w:szCs w:val="20"/>
        </w:rPr>
      </w:pPr>
      <w:r>
        <w:rPr>
          <w:vertAlign w:val="superscript"/>
        </w:rPr>
        <w:footnoteRef/>
      </w:r>
      <w:r>
        <w:rPr>
          <w:rFonts w:ascii="Times New Roman" w:eastAsia="Times New Roman" w:hAnsi="Times New Roman" w:cs="Times New Roman"/>
          <w:b/>
          <w:color w:val="00000A"/>
          <w:highlight w:val="white"/>
        </w:rPr>
        <w:t>https://www.infobae.com/estados-unidos/2024/01/10/asi-utilizan-la-inteligencia-artificial-para-la-identificacion-de-abusadores-infantiles-en-estados-unidos/</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444AE8" w14:textId="77777777" w:rsidR="006F1CFB" w:rsidRDefault="006F1CFB">
    <w:pPr>
      <w:widowControl w:val="0"/>
      <w:pBdr>
        <w:top w:val="nil"/>
        <w:left w:val="nil"/>
        <w:bottom w:val="nil"/>
        <w:right w:val="nil"/>
        <w:between w:val="nil"/>
      </w:pBdr>
      <w:spacing w:line="276" w:lineRule="auto"/>
    </w:pPr>
  </w:p>
  <w:tbl>
    <w:tblPr>
      <w:tblStyle w:val="a6"/>
      <w:tblW w:w="8848" w:type="dxa"/>
      <w:tblInd w:w="-20" w:type="dxa"/>
      <w:tblBorders>
        <w:top w:val="single" w:sz="4" w:space="0" w:color="00000A"/>
        <w:left w:val="single" w:sz="4" w:space="0" w:color="00000A"/>
        <w:bottom w:val="nil"/>
        <w:right w:val="single" w:sz="4" w:space="0" w:color="00000A"/>
        <w:insideH w:val="nil"/>
        <w:insideV w:val="single" w:sz="4" w:space="0" w:color="00000A"/>
      </w:tblBorders>
      <w:tblLayout w:type="fixed"/>
      <w:tblLook w:val="0400" w:firstRow="0" w:lastRow="0" w:firstColumn="0" w:lastColumn="0" w:noHBand="0" w:noVBand="1"/>
    </w:tblPr>
    <w:tblGrid>
      <w:gridCol w:w="2356"/>
      <w:gridCol w:w="4245"/>
      <w:gridCol w:w="2247"/>
    </w:tblGrid>
    <w:tr w:rsidR="006F1CFB" w14:paraId="355DF488" w14:textId="77777777">
      <w:trPr>
        <w:trHeight w:val="557"/>
      </w:trPr>
      <w:tc>
        <w:tcPr>
          <w:tcW w:w="2356" w:type="dxa"/>
          <w:vMerge w:val="restart"/>
          <w:tcBorders>
            <w:top w:val="single" w:sz="4" w:space="0" w:color="00000A"/>
            <w:left w:val="single" w:sz="4" w:space="0" w:color="00000A"/>
            <w:bottom w:val="nil"/>
            <w:right w:val="single" w:sz="4" w:space="0" w:color="00000A"/>
          </w:tcBorders>
          <w:shd w:val="clear" w:color="auto" w:fill="FFFFFF"/>
          <w:tcMar>
            <w:left w:w="45" w:type="dxa"/>
          </w:tcMar>
          <w:vAlign w:val="center"/>
        </w:tcPr>
        <w:p w14:paraId="18FA5DCE" w14:textId="77777777" w:rsidR="006F1CFB" w:rsidRDefault="006F1CFB">
          <w:pPr>
            <w:rPr>
              <w:sz w:val="16"/>
              <w:szCs w:val="16"/>
            </w:rPr>
          </w:pPr>
        </w:p>
        <w:p w14:paraId="57ED722A" w14:textId="77777777" w:rsidR="006F1CFB" w:rsidRDefault="00CB299E">
          <w:pPr>
            <w:jc w:val="center"/>
          </w:pPr>
          <w:r>
            <w:rPr>
              <w:noProof/>
              <w:lang w:val="es-419" w:eastAsia="es-419"/>
            </w:rPr>
            <w:drawing>
              <wp:inline distT="0" distB="0" distL="0" distR="0" wp14:anchorId="3EDEB2B6" wp14:editId="007AB4AE">
                <wp:extent cx="419100" cy="508000"/>
                <wp:effectExtent l="0" t="0" r="0" b="0"/>
                <wp:docPr id="232" name="image1.png" descr="200px-Bogota_(escudo)_svg"/>
                <wp:cNvGraphicFramePr/>
                <a:graphic xmlns:a="http://schemas.openxmlformats.org/drawingml/2006/main">
                  <a:graphicData uri="http://schemas.openxmlformats.org/drawingml/2006/picture">
                    <pic:pic xmlns:pic="http://schemas.openxmlformats.org/drawingml/2006/picture">
                      <pic:nvPicPr>
                        <pic:cNvPr id="0" name="image1.png" descr="200px-Bogota_(escudo)_svg"/>
                        <pic:cNvPicPr preferRelativeResize="0"/>
                      </pic:nvPicPr>
                      <pic:blipFill>
                        <a:blip r:embed="rId1"/>
                        <a:srcRect/>
                        <a:stretch>
                          <a:fillRect/>
                        </a:stretch>
                      </pic:blipFill>
                      <pic:spPr>
                        <a:xfrm>
                          <a:off x="0" y="0"/>
                          <a:ext cx="419100" cy="508000"/>
                        </a:xfrm>
                        <a:prstGeom prst="rect">
                          <a:avLst/>
                        </a:prstGeom>
                        <a:ln/>
                      </pic:spPr>
                    </pic:pic>
                  </a:graphicData>
                </a:graphic>
              </wp:inline>
            </w:drawing>
          </w:r>
        </w:p>
        <w:p w14:paraId="4B41964A" w14:textId="77777777" w:rsidR="006F1CFB" w:rsidRDefault="006F1CFB">
          <w:pPr>
            <w:rPr>
              <w:sz w:val="16"/>
              <w:szCs w:val="16"/>
            </w:rPr>
          </w:pPr>
        </w:p>
        <w:p w14:paraId="2E2F7757" w14:textId="77777777" w:rsidR="006F1CFB" w:rsidRDefault="00CB299E">
          <w:pPr>
            <w:jc w:val="center"/>
            <w:rPr>
              <w:sz w:val="16"/>
              <w:szCs w:val="16"/>
            </w:rPr>
          </w:pPr>
          <w:r>
            <w:rPr>
              <w:sz w:val="16"/>
              <w:szCs w:val="16"/>
            </w:rPr>
            <w:t>CONCEJO DE BOGOTÁ D.C.</w:t>
          </w:r>
        </w:p>
      </w:tc>
      <w:tc>
        <w:tcPr>
          <w:tcW w:w="4245" w:type="dxa"/>
          <w:tcBorders>
            <w:top w:val="single" w:sz="4" w:space="0" w:color="00000A"/>
            <w:left w:val="nil"/>
            <w:bottom w:val="single" w:sz="4" w:space="0" w:color="00000A"/>
            <w:right w:val="single" w:sz="4" w:space="0" w:color="00000A"/>
          </w:tcBorders>
          <w:shd w:val="clear" w:color="auto" w:fill="FFFFFF"/>
          <w:tcMar>
            <w:left w:w="70" w:type="dxa"/>
          </w:tcMar>
          <w:vAlign w:val="center"/>
        </w:tcPr>
        <w:p w14:paraId="6E021201" w14:textId="77777777" w:rsidR="006F1CFB" w:rsidRDefault="00CB299E">
          <w:pPr>
            <w:jc w:val="center"/>
            <w:rPr>
              <w:sz w:val="18"/>
              <w:szCs w:val="18"/>
            </w:rPr>
          </w:pPr>
          <w:r>
            <w:rPr>
              <w:sz w:val="18"/>
              <w:szCs w:val="18"/>
            </w:rPr>
            <w:t>PROCESO GESTIÓN NORMATIVA</w:t>
          </w:r>
        </w:p>
      </w:tc>
      <w:tc>
        <w:tcPr>
          <w:tcW w:w="2247" w:type="dxa"/>
          <w:tcBorders>
            <w:top w:val="single" w:sz="4" w:space="0" w:color="00000A"/>
            <w:left w:val="nil"/>
            <w:bottom w:val="single" w:sz="4" w:space="0" w:color="00000A"/>
            <w:right w:val="single" w:sz="4" w:space="0" w:color="000001"/>
          </w:tcBorders>
          <w:shd w:val="clear" w:color="auto" w:fill="FFFFFF"/>
          <w:tcMar>
            <w:left w:w="70" w:type="dxa"/>
          </w:tcMar>
          <w:vAlign w:val="center"/>
        </w:tcPr>
        <w:p w14:paraId="6079A28D" w14:textId="77777777" w:rsidR="006F1CFB" w:rsidRDefault="00CB299E">
          <w:pPr>
            <w:rPr>
              <w:sz w:val="16"/>
              <w:szCs w:val="16"/>
            </w:rPr>
          </w:pPr>
          <w:r>
            <w:rPr>
              <w:sz w:val="16"/>
              <w:szCs w:val="16"/>
            </w:rPr>
            <w:t>CÓDIGO</w:t>
          </w:r>
          <w:r>
            <w:rPr>
              <w:color w:val="3366FF"/>
              <w:sz w:val="16"/>
              <w:szCs w:val="16"/>
            </w:rPr>
            <w:t xml:space="preserve">: </w:t>
          </w:r>
          <w:r>
            <w:rPr>
              <w:sz w:val="16"/>
              <w:szCs w:val="16"/>
            </w:rPr>
            <w:t>GNV-FO-001</w:t>
          </w:r>
        </w:p>
      </w:tc>
    </w:tr>
    <w:tr w:rsidR="006F1CFB" w14:paraId="7C8CE79B" w14:textId="77777777">
      <w:trPr>
        <w:trHeight w:val="323"/>
      </w:trPr>
      <w:tc>
        <w:tcPr>
          <w:tcW w:w="2356" w:type="dxa"/>
          <w:vMerge/>
          <w:tcBorders>
            <w:top w:val="single" w:sz="4" w:space="0" w:color="00000A"/>
            <w:left w:val="single" w:sz="4" w:space="0" w:color="00000A"/>
            <w:bottom w:val="nil"/>
            <w:right w:val="single" w:sz="4" w:space="0" w:color="00000A"/>
          </w:tcBorders>
          <w:shd w:val="clear" w:color="auto" w:fill="FFFFFF"/>
          <w:tcMar>
            <w:left w:w="45" w:type="dxa"/>
          </w:tcMar>
          <w:vAlign w:val="center"/>
        </w:tcPr>
        <w:p w14:paraId="707AE22A" w14:textId="77777777" w:rsidR="006F1CFB" w:rsidRDefault="006F1CFB">
          <w:pPr>
            <w:widowControl w:val="0"/>
            <w:pBdr>
              <w:top w:val="nil"/>
              <w:left w:val="nil"/>
              <w:bottom w:val="nil"/>
              <w:right w:val="nil"/>
              <w:between w:val="nil"/>
            </w:pBdr>
            <w:spacing w:line="276" w:lineRule="auto"/>
            <w:rPr>
              <w:sz w:val="16"/>
              <w:szCs w:val="16"/>
            </w:rPr>
          </w:pPr>
        </w:p>
      </w:tc>
      <w:tc>
        <w:tcPr>
          <w:tcW w:w="4245" w:type="dxa"/>
          <w:vMerge w:val="restart"/>
          <w:tcBorders>
            <w:top w:val="single" w:sz="4" w:space="0" w:color="00000A"/>
            <w:left w:val="nil"/>
            <w:bottom w:val="nil"/>
            <w:right w:val="single" w:sz="4" w:space="0" w:color="00000A"/>
          </w:tcBorders>
          <w:shd w:val="clear" w:color="auto" w:fill="FFFFFF"/>
          <w:tcMar>
            <w:left w:w="70" w:type="dxa"/>
          </w:tcMar>
          <w:vAlign w:val="center"/>
        </w:tcPr>
        <w:p w14:paraId="35436084" w14:textId="77777777" w:rsidR="006F1CFB" w:rsidRDefault="00CB299E">
          <w:pPr>
            <w:jc w:val="center"/>
            <w:rPr>
              <w:sz w:val="20"/>
              <w:szCs w:val="20"/>
            </w:rPr>
          </w:pPr>
          <w:r>
            <w:rPr>
              <w:sz w:val="20"/>
              <w:szCs w:val="20"/>
            </w:rPr>
            <w:t>PRESENTACIÓN PROYECTOS DE ACUERDO</w:t>
          </w:r>
        </w:p>
      </w:tc>
      <w:tc>
        <w:tcPr>
          <w:tcW w:w="2247" w:type="dxa"/>
          <w:tcBorders>
            <w:top w:val="single" w:sz="4" w:space="0" w:color="00000A"/>
            <w:left w:val="nil"/>
            <w:bottom w:val="single" w:sz="4" w:space="0" w:color="00000A"/>
            <w:right w:val="single" w:sz="4" w:space="0" w:color="000001"/>
          </w:tcBorders>
          <w:shd w:val="clear" w:color="auto" w:fill="FFFFFF"/>
          <w:tcMar>
            <w:left w:w="70" w:type="dxa"/>
          </w:tcMar>
          <w:vAlign w:val="center"/>
        </w:tcPr>
        <w:p w14:paraId="74DA7A26" w14:textId="77777777" w:rsidR="006F1CFB" w:rsidRDefault="00CB299E">
          <w:pPr>
            <w:rPr>
              <w:sz w:val="16"/>
              <w:szCs w:val="16"/>
            </w:rPr>
          </w:pPr>
          <w:r>
            <w:rPr>
              <w:sz w:val="16"/>
              <w:szCs w:val="16"/>
            </w:rPr>
            <w:t>VERSIÓN:    02</w:t>
          </w:r>
        </w:p>
      </w:tc>
    </w:tr>
    <w:tr w:rsidR="006F1CFB" w14:paraId="5B78F35F" w14:textId="77777777">
      <w:trPr>
        <w:trHeight w:val="330"/>
      </w:trPr>
      <w:tc>
        <w:tcPr>
          <w:tcW w:w="2356" w:type="dxa"/>
          <w:vMerge/>
          <w:tcBorders>
            <w:top w:val="single" w:sz="4" w:space="0" w:color="00000A"/>
            <w:left w:val="single" w:sz="4" w:space="0" w:color="00000A"/>
            <w:bottom w:val="nil"/>
            <w:right w:val="single" w:sz="4" w:space="0" w:color="00000A"/>
          </w:tcBorders>
          <w:shd w:val="clear" w:color="auto" w:fill="FFFFFF"/>
          <w:tcMar>
            <w:left w:w="45" w:type="dxa"/>
          </w:tcMar>
          <w:vAlign w:val="center"/>
        </w:tcPr>
        <w:p w14:paraId="449E236A" w14:textId="77777777" w:rsidR="006F1CFB" w:rsidRDefault="006F1CFB">
          <w:pPr>
            <w:widowControl w:val="0"/>
            <w:pBdr>
              <w:top w:val="nil"/>
              <w:left w:val="nil"/>
              <w:bottom w:val="nil"/>
              <w:right w:val="nil"/>
              <w:between w:val="nil"/>
            </w:pBdr>
            <w:spacing w:line="276" w:lineRule="auto"/>
            <w:rPr>
              <w:sz w:val="16"/>
              <w:szCs w:val="16"/>
            </w:rPr>
          </w:pPr>
        </w:p>
      </w:tc>
      <w:tc>
        <w:tcPr>
          <w:tcW w:w="4245" w:type="dxa"/>
          <w:vMerge/>
          <w:tcBorders>
            <w:top w:val="single" w:sz="4" w:space="0" w:color="00000A"/>
            <w:left w:val="nil"/>
            <w:bottom w:val="nil"/>
            <w:right w:val="single" w:sz="4" w:space="0" w:color="00000A"/>
          </w:tcBorders>
          <w:shd w:val="clear" w:color="auto" w:fill="FFFFFF"/>
          <w:tcMar>
            <w:left w:w="70" w:type="dxa"/>
          </w:tcMar>
          <w:vAlign w:val="center"/>
        </w:tcPr>
        <w:p w14:paraId="01C167F6" w14:textId="77777777" w:rsidR="006F1CFB" w:rsidRDefault="006F1CFB">
          <w:pPr>
            <w:widowControl w:val="0"/>
            <w:pBdr>
              <w:top w:val="nil"/>
              <w:left w:val="nil"/>
              <w:bottom w:val="nil"/>
              <w:right w:val="nil"/>
              <w:between w:val="nil"/>
            </w:pBdr>
            <w:spacing w:line="276" w:lineRule="auto"/>
            <w:rPr>
              <w:sz w:val="16"/>
              <w:szCs w:val="16"/>
            </w:rPr>
          </w:pPr>
        </w:p>
      </w:tc>
      <w:tc>
        <w:tcPr>
          <w:tcW w:w="2247" w:type="dxa"/>
          <w:tcBorders>
            <w:top w:val="single" w:sz="4" w:space="0" w:color="00000A"/>
            <w:left w:val="nil"/>
            <w:bottom w:val="single" w:sz="4" w:space="0" w:color="00000A"/>
            <w:right w:val="single" w:sz="4" w:space="0" w:color="000001"/>
          </w:tcBorders>
          <w:shd w:val="clear" w:color="auto" w:fill="FFFFFF"/>
          <w:tcMar>
            <w:left w:w="70" w:type="dxa"/>
          </w:tcMar>
          <w:vAlign w:val="center"/>
        </w:tcPr>
        <w:p w14:paraId="73BE02A9" w14:textId="77777777" w:rsidR="006F1CFB" w:rsidRDefault="00CB299E">
          <w:pPr>
            <w:rPr>
              <w:sz w:val="16"/>
              <w:szCs w:val="16"/>
            </w:rPr>
          </w:pPr>
          <w:r>
            <w:rPr>
              <w:sz w:val="16"/>
              <w:szCs w:val="16"/>
            </w:rPr>
            <w:t>FECHA: 14-Nov-2019</w:t>
          </w:r>
        </w:p>
      </w:tc>
    </w:tr>
  </w:tbl>
  <w:p w14:paraId="4A1D7C85" w14:textId="77777777" w:rsidR="006F1CFB" w:rsidRDefault="006F1CFB">
    <w:pPr>
      <w:pBdr>
        <w:top w:val="nil"/>
        <w:left w:val="nil"/>
        <w:bottom w:val="nil"/>
        <w:right w:val="nil"/>
        <w:between w:val="nil"/>
      </w:pBdr>
      <w:tabs>
        <w:tab w:val="center" w:pos="4419"/>
        <w:tab w:val="right" w:pos="8838"/>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A53C6"/>
    <w:multiLevelType w:val="multilevel"/>
    <w:tmpl w:val="521A46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0750433"/>
    <w:multiLevelType w:val="multilevel"/>
    <w:tmpl w:val="9A12310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2AF23530"/>
    <w:multiLevelType w:val="multilevel"/>
    <w:tmpl w:val="53A072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D804DA9"/>
    <w:multiLevelType w:val="multilevel"/>
    <w:tmpl w:val="052CB6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0FF298A"/>
    <w:multiLevelType w:val="multilevel"/>
    <w:tmpl w:val="76D089B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58AC7B4F"/>
    <w:multiLevelType w:val="multilevel"/>
    <w:tmpl w:val="C2CCB52E"/>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6" w15:restartNumberingAfterBreak="0">
    <w:nsid w:val="63DF3109"/>
    <w:multiLevelType w:val="multilevel"/>
    <w:tmpl w:val="D9621DF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 w15:restartNumberingAfterBreak="0">
    <w:nsid w:val="764B7D66"/>
    <w:multiLevelType w:val="multilevel"/>
    <w:tmpl w:val="2F52E4B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7EDF7950"/>
    <w:multiLevelType w:val="multilevel"/>
    <w:tmpl w:val="8C0AC1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7"/>
  </w:num>
  <w:num w:numId="2">
    <w:abstractNumId w:val="8"/>
  </w:num>
  <w:num w:numId="3">
    <w:abstractNumId w:val="3"/>
  </w:num>
  <w:num w:numId="4">
    <w:abstractNumId w:val="4"/>
  </w:num>
  <w:num w:numId="5">
    <w:abstractNumId w:val="1"/>
  </w:num>
  <w:num w:numId="6">
    <w:abstractNumId w:val="0"/>
  </w:num>
  <w:num w:numId="7">
    <w:abstractNumId w:val="2"/>
  </w:num>
  <w:num w:numId="8">
    <w:abstractNumId w:val="5"/>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1CFB"/>
    <w:rsid w:val="00177EC0"/>
    <w:rsid w:val="001D11CD"/>
    <w:rsid w:val="004B0AD1"/>
    <w:rsid w:val="00555AE0"/>
    <w:rsid w:val="006F1CFB"/>
    <w:rsid w:val="00CB299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3FE0F9"/>
  <w15:docId w15:val="{0DBFF4A7-3AF7-064A-A76F-EE021D7080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CA"/>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semiHidden/>
    <w:unhideWhenUsed/>
    <w:qFormat/>
    <w:rsid w:val="00AE7E3B"/>
    <w:pPr>
      <w:keepNext/>
      <w:outlineLvl w:val="1"/>
    </w:pPr>
    <w:rPr>
      <w:rFonts w:ascii="Times New Roman" w:hAnsi="Times New Roman"/>
      <w:color w:val="auto"/>
      <w:lang w:val="es-MX"/>
    </w:rPr>
  </w:style>
  <w:style w:type="paragraph" w:styleId="Ttulo3">
    <w:name w:val="heading 3"/>
    <w:basedOn w:val="Normal"/>
    <w:next w:val="Normal"/>
    <w:link w:val="Ttulo3Car"/>
    <w:uiPriority w:val="9"/>
    <w:semiHidden/>
    <w:unhideWhenUsed/>
    <w:qFormat/>
    <w:rsid w:val="004D64F2"/>
    <w:pPr>
      <w:keepNext/>
      <w:keepLines/>
      <w:spacing w:before="40" w:line="259" w:lineRule="auto"/>
      <w:outlineLvl w:val="2"/>
    </w:pPr>
    <w:rPr>
      <w:rFonts w:asciiTheme="majorHAnsi" w:eastAsiaTheme="majorEastAsia" w:hAnsiTheme="majorHAnsi" w:cstheme="majorBidi"/>
      <w:color w:val="243F60" w:themeColor="accent1" w:themeShade="7F"/>
      <w:lang w:val="es-CO" w:eastAsia="es-CO"/>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link w:val="Ttulo6Car"/>
    <w:uiPriority w:val="9"/>
    <w:semiHidden/>
    <w:unhideWhenUsed/>
    <w:qFormat/>
    <w:rsid w:val="004D64F2"/>
    <w:pPr>
      <w:keepNext/>
      <w:keepLines/>
      <w:spacing w:before="200" w:after="40" w:line="259" w:lineRule="auto"/>
      <w:outlineLvl w:val="5"/>
    </w:pPr>
    <w:rPr>
      <w:rFonts w:ascii="Calibri" w:eastAsia="Calibri" w:hAnsi="Calibri" w:cs="Calibri"/>
      <w:b/>
      <w:color w:val="auto"/>
      <w:sz w:val="20"/>
      <w:lang w:val="es-CO"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4D64F2"/>
    <w:pPr>
      <w:keepNext/>
      <w:keepLines/>
      <w:spacing w:before="480" w:after="120" w:line="259" w:lineRule="auto"/>
    </w:pPr>
    <w:rPr>
      <w:rFonts w:ascii="Calibri" w:eastAsia="Calibri" w:hAnsi="Calibri" w:cs="Calibri"/>
      <w:b/>
      <w:color w:val="auto"/>
      <w:sz w:val="72"/>
      <w:szCs w:val="72"/>
      <w:lang w:val="es-CO" w:eastAsia="es-CO"/>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
    <w:locked/>
    <w:rsid w:val="0078358A"/>
    <w:rPr>
      <w:rFonts w:ascii="Cambria" w:hAnsi="Cambria" w:cs="Times New Roman"/>
      <w:b/>
      <w:bCs/>
      <w:i/>
      <w:iCs/>
      <w:color w:val="000000"/>
      <w:sz w:val="28"/>
      <w:szCs w:val="28"/>
    </w:rPr>
  </w:style>
  <w:style w:type="character" w:customStyle="1" w:styleId="Ttulo3Car">
    <w:name w:val="Título 3 Car"/>
    <w:basedOn w:val="Fuentedeprrafopredeter"/>
    <w:link w:val="Ttulo3"/>
    <w:uiPriority w:val="9"/>
    <w:rsid w:val="004D64F2"/>
    <w:rPr>
      <w:rFonts w:asciiTheme="majorHAnsi" w:eastAsiaTheme="majorEastAsia" w:hAnsiTheme="majorHAnsi" w:cstheme="majorBidi"/>
      <w:color w:val="243F60" w:themeColor="accent1" w:themeShade="7F"/>
      <w:sz w:val="24"/>
      <w:szCs w:val="24"/>
      <w:lang w:val="es-CO" w:eastAsia="es-CO"/>
    </w:rPr>
  </w:style>
  <w:style w:type="character" w:customStyle="1" w:styleId="Ttulo4Car">
    <w:name w:val="Título 4 Car"/>
    <w:basedOn w:val="Fuentedeprrafopredeter"/>
    <w:link w:val="Ttulo4"/>
    <w:uiPriority w:val="9"/>
    <w:locked/>
    <w:rsid w:val="00BD4F10"/>
    <w:rPr>
      <w:rFonts w:cs="Times New Roman"/>
      <w:b/>
      <w:sz w:val="28"/>
      <w:lang w:val="es-ES" w:eastAsia="es-ES"/>
    </w:rPr>
  </w:style>
  <w:style w:type="character" w:customStyle="1" w:styleId="Ttulo5Car">
    <w:name w:val="Título 5 Car"/>
    <w:basedOn w:val="Fuentedeprrafopredeter"/>
    <w:link w:val="Ttulo5"/>
    <w:uiPriority w:val="9"/>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locked/>
    <w:rsid w:val="0078358A"/>
    <w:rPr>
      <w:rFonts w:ascii="Arial" w:hAnsi="Arial" w:cs="Times New Roman"/>
      <w:color w:val="000000"/>
      <w:sz w:val="20"/>
      <w:szCs w:val="20"/>
    </w:rPr>
  </w:style>
  <w:style w:type="paragraph" w:styleId="Piedepgina">
    <w:name w:val="footer"/>
    <w:basedOn w:val="Normal"/>
    <w:link w:val="PiedepginaCar"/>
    <w:uiPriority w:val="99"/>
    <w:rsid w:val="00AE7E3B"/>
    <w:pPr>
      <w:tabs>
        <w:tab w:val="center" w:pos="4252"/>
        <w:tab w:val="right" w:pos="8504"/>
      </w:tabs>
    </w:pPr>
  </w:style>
  <w:style w:type="character" w:customStyle="1" w:styleId="PiedepginaCar">
    <w:name w:val="Pie de página Car"/>
    <w:basedOn w:val="Fuentedeprrafopredeter"/>
    <w:link w:val="Piedepgina"/>
    <w:uiPriority w:val="99"/>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rsid w:val="00AD4793"/>
    <w:rPr>
      <w:rFonts w:cs="Times New Roman"/>
    </w:rPr>
  </w:style>
  <w:style w:type="paragraph" w:styleId="Textoindependiente2">
    <w:name w:val="Body Text 2"/>
    <w:basedOn w:val="Normal"/>
    <w:link w:val="Textoindependiente2Car"/>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locked/>
    <w:rsid w:val="0078358A"/>
    <w:rPr>
      <w:rFonts w:ascii="Arial" w:hAnsi="Arial" w:cs="Times New Roman"/>
      <w:color w:val="000000"/>
      <w:sz w:val="20"/>
      <w:szCs w:val="20"/>
    </w:rPr>
  </w:style>
  <w:style w:type="paragraph" w:styleId="Textoindependiente3">
    <w:name w:val="Body Text 3"/>
    <w:basedOn w:val="Normal"/>
    <w:link w:val="Textoindependiente3Car"/>
    <w:rsid w:val="00840C8F"/>
    <w:pPr>
      <w:spacing w:after="120"/>
    </w:pPr>
    <w:rPr>
      <w:sz w:val="16"/>
      <w:szCs w:val="16"/>
    </w:rPr>
  </w:style>
  <w:style w:type="character" w:customStyle="1" w:styleId="Textoindependiente3Car">
    <w:name w:val="Texto independiente 3 Car"/>
    <w:basedOn w:val="Fuentedeprrafopredeter"/>
    <w:link w:val="Textoindependiente3"/>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List1,LISTA,Párrafo de lista1,Ha,Resume Title,Bullet List,FooterText,numbered,List Paragraph1,Paragraphe de liste1,lp1,HOJA,Colorful List Accent 1,Colorful List - Accent 11,titulo 3,Colorful List - Accent 111,Bullets"/>
    <w:basedOn w:val="Normal"/>
    <w:link w:val="PrrafodelistaCar"/>
    <w:uiPriority w:val="34"/>
    <w:qFormat/>
    <w:rsid w:val="005C3311"/>
    <w:pPr>
      <w:ind w:left="708"/>
    </w:pPr>
  </w:style>
  <w:style w:type="character" w:customStyle="1" w:styleId="PrrafodelistaCar">
    <w:name w:val="Párrafo de lista Car"/>
    <w:aliases w:val="List1 Car,LISTA Car,Párrafo de lista1 Car,Ha Car,Resume Title Car,Bullet List Car,FooterText Car,numbered Car,List Paragraph1 Car,Paragraphe de liste1 Car,lp1 Car,HOJA Car,Colorful List Accent 1 Car,Colorful List - Accent 11 Car"/>
    <w:link w:val="Prrafodelista"/>
    <w:uiPriority w:val="34"/>
    <w:qFormat/>
    <w:locked/>
    <w:rsid w:val="009433FC"/>
    <w:rPr>
      <w:rFonts w:ascii="Arial" w:hAnsi="Arial"/>
      <w:color w:val="000000"/>
      <w:sz w:val="24"/>
    </w:r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customStyle="1" w:styleId="Encabezado1">
    <w:name w:val="Encabezado 1"/>
    <w:basedOn w:val="Normal"/>
    <w:next w:val="Normal"/>
    <w:uiPriority w:val="9"/>
    <w:qFormat/>
    <w:rsid w:val="009433FC"/>
    <w:pPr>
      <w:keepNext/>
      <w:suppressAutoHyphens/>
      <w:jc w:val="center"/>
      <w:outlineLvl w:val="0"/>
    </w:pPr>
    <w:rPr>
      <w:rFonts w:asciiTheme="majorHAnsi" w:eastAsiaTheme="majorEastAsia" w:hAnsiTheme="majorHAnsi" w:cstheme="majorBidi"/>
      <w:color w:val="365F91" w:themeColor="accent1" w:themeShade="BF"/>
      <w:sz w:val="32"/>
      <w:szCs w:val="32"/>
    </w:rPr>
  </w:style>
  <w:style w:type="paragraph" w:customStyle="1" w:styleId="Encabezado2">
    <w:name w:val="Encabezado 2"/>
    <w:basedOn w:val="Normal"/>
    <w:next w:val="Normal"/>
    <w:qFormat/>
    <w:rsid w:val="009433FC"/>
    <w:pPr>
      <w:keepNext/>
      <w:suppressAutoHyphens/>
      <w:outlineLvl w:val="1"/>
    </w:pPr>
    <w:rPr>
      <w:rFonts w:asciiTheme="majorHAnsi" w:eastAsiaTheme="majorEastAsia" w:hAnsiTheme="majorHAnsi" w:cstheme="majorBidi"/>
      <w:color w:val="365F91" w:themeColor="accent1" w:themeShade="BF"/>
      <w:sz w:val="26"/>
      <w:szCs w:val="26"/>
    </w:rPr>
  </w:style>
  <w:style w:type="paragraph" w:customStyle="1" w:styleId="Encabezado3">
    <w:name w:val="Encabezado 3"/>
    <w:basedOn w:val="Encabezado"/>
    <w:rsid w:val="009433FC"/>
    <w:pPr>
      <w:keepNext/>
      <w:tabs>
        <w:tab w:val="clear" w:pos="4252"/>
        <w:tab w:val="clear" w:pos="8504"/>
      </w:tabs>
      <w:suppressAutoHyphens/>
      <w:spacing w:before="240" w:after="120"/>
    </w:pPr>
    <w:rPr>
      <w:sz w:val="20"/>
      <w:lang w:val="es-CO" w:eastAsia="es-CO"/>
    </w:rPr>
  </w:style>
  <w:style w:type="paragraph" w:customStyle="1" w:styleId="Encabezado4">
    <w:name w:val="Encabezado 4"/>
    <w:basedOn w:val="Normal"/>
    <w:next w:val="Normal"/>
    <w:qFormat/>
    <w:rsid w:val="009433FC"/>
    <w:pPr>
      <w:keepNext/>
      <w:suppressAutoHyphens/>
      <w:spacing w:before="240" w:after="60"/>
      <w:outlineLvl w:val="3"/>
    </w:pPr>
    <w:rPr>
      <w:rFonts w:ascii="Times New Roman" w:hAnsi="Times New Roman"/>
      <w:b/>
      <w:bCs/>
      <w:color w:val="00000A"/>
      <w:sz w:val="28"/>
      <w:szCs w:val="28"/>
    </w:rPr>
  </w:style>
  <w:style w:type="paragraph" w:customStyle="1" w:styleId="Encabezado5">
    <w:name w:val="Encabezado 5"/>
    <w:basedOn w:val="Normal"/>
    <w:next w:val="Normal"/>
    <w:qFormat/>
    <w:rsid w:val="009433FC"/>
    <w:pPr>
      <w:keepNext/>
      <w:keepLines/>
      <w:suppressAutoHyphens/>
      <w:spacing w:before="200"/>
      <w:outlineLvl w:val="4"/>
    </w:pPr>
    <w:rPr>
      <w:rFonts w:ascii="Cambria" w:hAnsi="Cambria"/>
      <w:color w:val="243F60"/>
    </w:rPr>
  </w:style>
  <w:style w:type="character" w:customStyle="1" w:styleId="EnlacedeInternet">
    <w:name w:val="Enlace de Internet"/>
    <w:uiPriority w:val="99"/>
    <w:semiHidden/>
    <w:unhideWhenUsed/>
    <w:rsid w:val="009433FC"/>
    <w:rPr>
      <w:rFonts w:cs="Times New Roman"/>
      <w:color w:val="0000FF"/>
      <w:u w:val="single"/>
    </w:rPr>
  </w:style>
  <w:style w:type="character" w:customStyle="1" w:styleId="TextonotapieCar">
    <w:name w:val="Texto nota pie Car"/>
    <w:aliases w:val="Footnote Text Char Char Char Char Char Car,Footnote Text Char Char Char Char Car,Footnote reference Car,FA Fu Car,Footnote Text Char Char Char Char Char Char Char Char Car,Footnote Text Char Char Char Char Char Char1 Car,ft Car"/>
    <w:link w:val="Textonotapie"/>
    <w:uiPriority w:val="99"/>
    <w:rsid w:val="009433FC"/>
    <w:rPr>
      <w:rFonts w:ascii="Arial" w:hAnsi="Arial"/>
      <w:color w:val="000000"/>
    </w:rPr>
  </w:style>
  <w:style w:type="paragraph" w:styleId="Textonotapie">
    <w:name w:val="footnote text"/>
    <w:aliases w:val="Footnote Text Char Char Char Char Char,Footnote Text Char Char Char Char,Footnote reference,FA Fu,Footnote Text Char Char Char Char Char Char Char Char,Footnote Text Char Char Char Char Char Char1,ft"/>
    <w:basedOn w:val="Normal"/>
    <w:link w:val="TextonotapieCar"/>
    <w:uiPriority w:val="99"/>
    <w:unhideWhenUsed/>
    <w:rsid w:val="009433FC"/>
    <w:pPr>
      <w:suppressAutoHyphens/>
    </w:pPr>
    <w:rPr>
      <w:sz w:val="20"/>
    </w:rPr>
  </w:style>
  <w:style w:type="character" w:styleId="Refdenotaalpie">
    <w:name w:val="footnote reference"/>
    <w:uiPriority w:val="99"/>
    <w:unhideWhenUsed/>
    <w:rsid w:val="009433FC"/>
    <w:rPr>
      <w:vertAlign w:val="superscript"/>
    </w:rPr>
  </w:style>
  <w:style w:type="character" w:customStyle="1" w:styleId="CharAttribute7">
    <w:name w:val="CharAttribute7"/>
    <w:rsid w:val="009433FC"/>
    <w:rPr>
      <w:rFonts w:ascii="Arial" w:eastAsia="Times New Roman" w:hAnsi="Arial" w:cs="Arial"/>
      <w:b/>
      <w:bCs w:val="0"/>
      <w:sz w:val="24"/>
    </w:rPr>
  </w:style>
  <w:style w:type="character" w:customStyle="1" w:styleId="apple-converted-space">
    <w:name w:val="apple-converted-space"/>
    <w:basedOn w:val="Fuentedeprrafopredeter"/>
    <w:rsid w:val="009433FC"/>
  </w:style>
  <w:style w:type="character" w:styleId="Textoennegrita">
    <w:name w:val="Strong"/>
    <w:uiPriority w:val="22"/>
    <w:qFormat/>
    <w:locked/>
    <w:rsid w:val="009433FC"/>
    <w:rPr>
      <w:b/>
      <w:bCs/>
    </w:rPr>
  </w:style>
  <w:style w:type="character" w:customStyle="1" w:styleId="titulonegrita1">
    <w:name w:val="titulonegrita1"/>
    <w:rsid w:val="009433FC"/>
  </w:style>
  <w:style w:type="character" w:customStyle="1" w:styleId="estilo35">
    <w:name w:val="estilo35"/>
    <w:rsid w:val="009433FC"/>
  </w:style>
  <w:style w:type="character" w:customStyle="1" w:styleId="estilo221">
    <w:name w:val="estilo221"/>
    <w:rsid w:val="009433FC"/>
  </w:style>
  <w:style w:type="character" w:customStyle="1" w:styleId="titulofondoverde">
    <w:name w:val="titulofondoverde"/>
    <w:rsid w:val="009433FC"/>
  </w:style>
  <w:style w:type="character" w:customStyle="1" w:styleId="estilo37">
    <w:name w:val="estilo37"/>
    <w:rsid w:val="009433FC"/>
  </w:style>
  <w:style w:type="character" w:customStyle="1" w:styleId="textoparrafo1">
    <w:name w:val="textoparrafo1"/>
    <w:rsid w:val="009433FC"/>
  </w:style>
  <w:style w:type="character" w:customStyle="1" w:styleId="estilo45">
    <w:name w:val="estilo45"/>
    <w:rsid w:val="009433FC"/>
  </w:style>
  <w:style w:type="character" w:customStyle="1" w:styleId="estilo44">
    <w:name w:val="estilo44"/>
    <w:rsid w:val="009433FC"/>
  </w:style>
  <w:style w:type="character" w:customStyle="1" w:styleId="estilo17">
    <w:name w:val="estilo17"/>
    <w:rsid w:val="009433FC"/>
  </w:style>
  <w:style w:type="character" w:customStyle="1" w:styleId="estilo24">
    <w:name w:val="estilo24"/>
    <w:rsid w:val="009433FC"/>
  </w:style>
  <w:style w:type="character" w:customStyle="1" w:styleId="ListLabel1">
    <w:name w:val="ListLabel 1"/>
    <w:rsid w:val="009433FC"/>
    <w:rPr>
      <w:rFonts w:eastAsia="Times New Roman"/>
    </w:rPr>
  </w:style>
  <w:style w:type="character" w:customStyle="1" w:styleId="ListLabel2">
    <w:name w:val="ListLabel 2"/>
    <w:rsid w:val="009433FC"/>
    <w:rPr>
      <w:b/>
      <w:bCs/>
    </w:rPr>
  </w:style>
  <w:style w:type="character" w:customStyle="1" w:styleId="ListLabel3">
    <w:name w:val="ListLabel 3"/>
    <w:rsid w:val="009433FC"/>
    <w:rPr>
      <w:b/>
    </w:rPr>
  </w:style>
  <w:style w:type="character" w:customStyle="1" w:styleId="ListLabel4">
    <w:name w:val="ListLabel 4"/>
    <w:rsid w:val="009433FC"/>
    <w:rPr>
      <w:rFonts w:cs="Courier New"/>
    </w:rPr>
  </w:style>
  <w:style w:type="character" w:customStyle="1" w:styleId="ListLabel5">
    <w:name w:val="ListLabel 5"/>
    <w:rsid w:val="009433FC"/>
    <w:rPr>
      <w:sz w:val="20"/>
    </w:rPr>
  </w:style>
  <w:style w:type="character" w:customStyle="1" w:styleId="Ancladenotaalpie">
    <w:name w:val="Ancla de nota al pie"/>
    <w:rsid w:val="009433FC"/>
    <w:rPr>
      <w:vertAlign w:val="superscript"/>
    </w:rPr>
  </w:style>
  <w:style w:type="character" w:customStyle="1" w:styleId="Ancladenotafinal">
    <w:name w:val="Ancla de nota final"/>
    <w:rsid w:val="009433FC"/>
    <w:rPr>
      <w:vertAlign w:val="superscript"/>
    </w:rPr>
  </w:style>
  <w:style w:type="character" w:customStyle="1" w:styleId="ListLabel6">
    <w:name w:val="ListLabel 6"/>
    <w:rsid w:val="009433FC"/>
    <w:rPr>
      <w:b/>
    </w:rPr>
  </w:style>
  <w:style w:type="character" w:customStyle="1" w:styleId="ListLabel7">
    <w:name w:val="ListLabel 7"/>
    <w:rsid w:val="009433FC"/>
    <w:rPr>
      <w:rFonts w:cs="Symbol"/>
      <w:sz w:val="20"/>
    </w:rPr>
  </w:style>
  <w:style w:type="character" w:customStyle="1" w:styleId="ListLabel8">
    <w:name w:val="ListLabel 8"/>
    <w:rsid w:val="009433FC"/>
    <w:rPr>
      <w:rFonts w:cs="Courier New"/>
      <w:sz w:val="20"/>
    </w:rPr>
  </w:style>
  <w:style w:type="character" w:customStyle="1" w:styleId="ListLabel9">
    <w:name w:val="ListLabel 9"/>
    <w:rsid w:val="009433FC"/>
    <w:rPr>
      <w:rFonts w:cs="Wingdings"/>
      <w:sz w:val="20"/>
    </w:rPr>
  </w:style>
  <w:style w:type="character" w:customStyle="1" w:styleId="Caracteresdenotaalpie">
    <w:name w:val="Caracteres de nota al pie"/>
    <w:rsid w:val="009433FC"/>
  </w:style>
  <w:style w:type="character" w:customStyle="1" w:styleId="Caracteresdenotafinal">
    <w:name w:val="Caracteres de nota final"/>
    <w:rsid w:val="009433FC"/>
  </w:style>
  <w:style w:type="character" w:customStyle="1" w:styleId="Ttulo1Car1">
    <w:name w:val="Título 1 Car1"/>
    <w:rsid w:val="009433FC"/>
    <w:rPr>
      <w:rFonts w:ascii="Cambria" w:hAnsi="Cambria"/>
      <w:color w:val="365F91"/>
      <w:sz w:val="32"/>
      <w:szCs w:val="32"/>
    </w:rPr>
  </w:style>
  <w:style w:type="character" w:customStyle="1" w:styleId="ListLabel10">
    <w:name w:val="ListLabel 10"/>
    <w:rsid w:val="009433FC"/>
    <w:rPr>
      <w:b/>
    </w:rPr>
  </w:style>
  <w:style w:type="character" w:customStyle="1" w:styleId="ListLabel11">
    <w:name w:val="ListLabel 11"/>
    <w:rsid w:val="009433FC"/>
    <w:rPr>
      <w:rFonts w:cs="Symbol"/>
      <w:sz w:val="20"/>
    </w:rPr>
  </w:style>
  <w:style w:type="character" w:customStyle="1" w:styleId="ListLabel12">
    <w:name w:val="ListLabel 12"/>
    <w:rsid w:val="009433FC"/>
    <w:rPr>
      <w:rFonts w:cs="Courier New"/>
      <w:sz w:val="20"/>
    </w:rPr>
  </w:style>
  <w:style w:type="character" w:customStyle="1" w:styleId="ListLabel13">
    <w:name w:val="ListLabel 13"/>
    <w:rsid w:val="009433FC"/>
    <w:rPr>
      <w:rFonts w:cs="Wingdings"/>
      <w:sz w:val="20"/>
    </w:rPr>
  </w:style>
  <w:style w:type="character" w:customStyle="1" w:styleId="ListLabel14">
    <w:name w:val="ListLabel 14"/>
    <w:rsid w:val="009433FC"/>
    <w:rPr>
      <w:u w:val="none"/>
    </w:rPr>
  </w:style>
  <w:style w:type="character" w:customStyle="1" w:styleId="ListLabel15">
    <w:name w:val="ListLabel 15"/>
    <w:rsid w:val="009433FC"/>
    <w:rPr>
      <w:rFonts w:cs="Courier New"/>
    </w:rPr>
  </w:style>
  <w:style w:type="character" w:customStyle="1" w:styleId="Muydestacado">
    <w:name w:val="Muy destacado"/>
    <w:rsid w:val="009433FC"/>
    <w:rPr>
      <w:b/>
      <w:bCs/>
    </w:rPr>
  </w:style>
  <w:style w:type="character" w:customStyle="1" w:styleId="Vietas">
    <w:name w:val="Viñetas"/>
    <w:rsid w:val="009433FC"/>
    <w:rPr>
      <w:rFonts w:ascii="OpenSymbol" w:eastAsia="OpenSymbol" w:hAnsi="OpenSymbol" w:cs="OpenSymbol"/>
    </w:rPr>
  </w:style>
  <w:style w:type="character" w:customStyle="1" w:styleId="Smbolosdenumeracin">
    <w:name w:val="Símbolos de numeración"/>
    <w:rsid w:val="009433FC"/>
  </w:style>
  <w:style w:type="character" w:customStyle="1" w:styleId="TextonotaalfinalCar">
    <w:name w:val="Texto nota al final Car"/>
    <w:link w:val="Textonotaalfinal"/>
    <w:uiPriority w:val="99"/>
    <w:semiHidden/>
    <w:rsid w:val="009433FC"/>
    <w:rPr>
      <w:rFonts w:ascii="Arial" w:hAnsi="Arial"/>
      <w:color w:val="000000"/>
    </w:rPr>
  </w:style>
  <w:style w:type="paragraph" w:styleId="Textonotaalfinal">
    <w:name w:val="endnote text"/>
    <w:basedOn w:val="Normal"/>
    <w:link w:val="TextonotaalfinalCar"/>
    <w:uiPriority w:val="99"/>
    <w:semiHidden/>
    <w:unhideWhenUsed/>
    <w:rsid w:val="009433FC"/>
    <w:pPr>
      <w:suppressAutoHyphens/>
    </w:pPr>
    <w:rPr>
      <w:sz w:val="20"/>
    </w:rPr>
  </w:style>
  <w:style w:type="character" w:styleId="Refdenotaalfinal">
    <w:name w:val="endnote reference"/>
    <w:uiPriority w:val="99"/>
    <w:semiHidden/>
    <w:unhideWhenUsed/>
    <w:rsid w:val="009433FC"/>
    <w:rPr>
      <w:vertAlign w:val="superscript"/>
    </w:rPr>
  </w:style>
  <w:style w:type="character" w:customStyle="1" w:styleId="ListLabel16">
    <w:name w:val="ListLabel 16"/>
    <w:rsid w:val="009433FC"/>
    <w:rPr>
      <w:sz w:val="20"/>
    </w:rPr>
  </w:style>
  <w:style w:type="character" w:customStyle="1" w:styleId="ListLabel17">
    <w:name w:val="ListLabel 17"/>
    <w:rsid w:val="009433FC"/>
    <w:rPr>
      <w:rFonts w:cs="Symbol"/>
      <w:sz w:val="20"/>
    </w:rPr>
  </w:style>
  <w:style w:type="character" w:customStyle="1" w:styleId="EncabezadoCar1">
    <w:name w:val="Encabezado Car1"/>
    <w:basedOn w:val="Fuentedeprrafopredeter"/>
    <w:uiPriority w:val="99"/>
    <w:semiHidden/>
    <w:rsid w:val="009433FC"/>
    <w:rPr>
      <w:rFonts w:ascii="Arial" w:hAnsi="Arial"/>
      <w:color w:val="000000"/>
      <w:sz w:val="24"/>
      <w:lang w:val="es-ES" w:eastAsia="es-ES"/>
    </w:rPr>
  </w:style>
  <w:style w:type="paragraph" w:customStyle="1" w:styleId="Cuerpodetexto">
    <w:name w:val="Cuerpo de texto"/>
    <w:basedOn w:val="Normal"/>
    <w:rsid w:val="009433FC"/>
    <w:pPr>
      <w:suppressAutoHyphens/>
      <w:spacing w:after="140" w:line="288" w:lineRule="auto"/>
      <w:jc w:val="both"/>
    </w:pPr>
    <w:rPr>
      <w:sz w:val="20"/>
      <w:lang w:val="es-CO" w:eastAsia="es-CO"/>
    </w:rPr>
  </w:style>
  <w:style w:type="paragraph" w:styleId="Lista">
    <w:name w:val="List"/>
    <w:basedOn w:val="Cuerpodetexto"/>
    <w:rsid w:val="009433FC"/>
    <w:rPr>
      <w:rFonts w:cs="FreeSans"/>
    </w:rPr>
  </w:style>
  <w:style w:type="paragraph" w:customStyle="1" w:styleId="Pie">
    <w:name w:val="Pie"/>
    <w:basedOn w:val="Normal"/>
    <w:rsid w:val="009433FC"/>
    <w:pPr>
      <w:suppressLineNumbers/>
      <w:suppressAutoHyphens/>
      <w:spacing w:before="120" w:after="120"/>
    </w:pPr>
    <w:rPr>
      <w:rFonts w:cs="FreeSans"/>
      <w:i/>
      <w:iCs/>
    </w:rPr>
  </w:style>
  <w:style w:type="paragraph" w:customStyle="1" w:styleId="ndice">
    <w:name w:val="Índice"/>
    <w:basedOn w:val="Normal"/>
    <w:rsid w:val="009433FC"/>
    <w:pPr>
      <w:suppressLineNumbers/>
      <w:suppressAutoHyphens/>
    </w:pPr>
    <w:rPr>
      <w:rFonts w:cs="FreeSans"/>
    </w:rPr>
  </w:style>
  <w:style w:type="paragraph" w:customStyle="1" w:styleId="Encabezamiento">
    <w:name w:val="Encabezamiento"/>
    <w:basedOn w:val="Normal"/>
    <w:rsid w:val="009433FC"/>
    <w:pPr>
      <w:keepNext/>
      <w:tabs>
        <w:tab w:val="center" w:pos="4252"/>
        <w:tab w:val="right" w:pos="8504"/>
      </w:tabs>
      <w:suppressAutoHyphens/>
      <w:spacing w:before="240" w:after="120"/>
    </w:pPr>
    <w:rPr>
      <w:rFonts w:ascii="Liberation Sans" w:eastAsia="Droid Sans Fallback" w:hAnsi="Liberation Sans" w:cs="FreeSans"/>
      <w:sz w:val="28"/>
      <w:szCs w:val="28"/>
    </w:rPr>
  </w:style>
  <w:style w:type="character" w:customStyle="1" w:styleId="PiedepginaCar1">
    <w:name w:val="Pie de página Car1"/>
    <w:basedOn w:val="Fuentedeprrafopredeter"/>
    <w:uiPriority w:val="99"/>
    <w:semiHidden/>
    <w:rsid w:val="009433FC"/>
    <w:rPr>
      <w:rFonts w:ascii="Arial" w:hAnsi="Arial"/>
      <w:color w:val="000000"/>
      <w:sz w:val="24"/>
      <w:lang w:val="es-ES" w:eastAsia="es-ES"/>
    </w:rPr>
  </w:style>
  <w:style w:type="character" w:customStyle="1" w:styleId="TextocomentarioCar1">
    <w:name w:val="Texto comentario Car1"/>
    <w:basedOn w:val="Fuentedeprrafopredeter"/>
    <w:uiPriority w:val="99"/>
    <w:semiHidden/>
    <w:rsid w:val="009433FC"/>
    <w:rPr>
      <w:rFonts w:ascii="Arial" w:hAnsi="Arial"/>
      <w:color w:val="000000"/>
      <w:lang w:val="es-ES" w:eastAsia="es-ES"/>
    </w:rPr>
  </w:style>
  <w:style w:type="character" w:customStyle="1" w:styleId="Textoindependiente2Car1">
    <w:name w:val="Texto independiente 2 Car1"/>
    <w:basedOn w:val="Fuentedeprrafopredeter"/>
    <w:uiPriority w:val="99"/>
    <w:semiHidden/>
    <w:rsid w:val="009433FC"/>
    <w:rPr>
      <w:rFonts w:ascii="Arial" w:hAnsi="Arial"/>
      <w:color w:val="000000"/>
      <w:sz w:val="24"/>
      <w:lang w:val="es-ES" w:eastAsia="es-ES"/>
    </w:rPr>
  </w:style>
  <w:style w:type="character" w:customStyle="1" w:styleId="Textoindependiente3Car1">
    <w:name w:val="Texto independiente 3 Car1"/>
    <w:basedOn w:val="Fuentedeprrafopredeter"/>
    <w:uiPriority w:val="99"/>
    <w:semiHidden/>
    <w:rsid w:val="009433FC"/>
    <w:rPr>
      <w:rFonts w:ascii="Arial" w:hAnsi="Arial"/>
      <w:color w:val="000000"/>
      <w:sz w:val="16"/>
      <w:szCs w:val="16"/>
      <w:lang w:val="es-ES" w:eastAsia="es-ES"/>
    </w:rPr>
  </w:style>
  <w:style w:type="character" w:customStyle="1" w:styleId="TextodegloboCar1">
    <w:name w:val="Texto de globo Car1"/>
    <w:basedOn w:val="Fuentedeprrafopredeter"/>
    <w:uiPriority w:val="99"/>
    <w:semiHidden/>
    <w:rsid w:val="009433FC"/>
    <w:rPr>
      <w:rFonts w:ascii="Segoe UI" w:hAnsi="Segoe UI" w:cs="Segoe UI"/>
      <w:color w:val="000000"/>
      <w:sz w:val="18"/>
      <w:szCs w:val="18"/>
      <w:lang w:val="es-ES" w:eastAsia="es-ES"/>
    </w:rPr>
  </w:style>
  <w:style w:type="paragraph" w:customStyle="1" w:styleId="Tabla">
    <w:name w:val="Tabla"/>
    <w:basedOn w:val="Normal"/>
    <w:autoRedefine/>
    <w:rsid w:val="009433FC"/>
    <w:pPr>
      <w:suppressAutoHyphens/>
      <w:spacing w:before="40" w:after="40"/>
      <w:ind w:left="4" w:hanging="4"/>
    </w:pPr>
    <w:rPr>
      <w:b/>
      <w:sz w:val="20"/>
      <w:lang w:val="en-GB" w:eastAsia="en-US"/>
    </w:rPr>
  </w:style>
  <w:style w:type="character" w:customStyle="1" w:styleId="TextonotapieCar1">
    <w:name w:val="Texto nota pie Car1"/>
    <w:basedOn w:val="Fuentedeprrafopredeter"/>
    <w:uiPriority w:val="99"/>
    <w:semiHidden/>
    <w:rsid w:val="009433FC"/>
    <w:rPr>
      <w:rFonts w:ascii="Arial" w:hAnsi="Arial"/>
      <w:color w:val="000000"/>
    </w:rPr>
  </w:style>
  <w:style w:type="paragraph" w:customStyle="1" w:styleId="ParaAttribute9">
    <w:name w:val="ParaAttribute9"/>
    <w:rsid w:val="009433FC"/>
    <w:pPr>
      <w:suppressAutoHyphens/>
      <w:spacing w:before="280" w:after="280"/>
      <w:jc w:val="both"/>
    </w:pPr>
    <w:rPr>
      <w:rFonts w:eastAsia="¹Å"/>
      <w:color w:val="00000A"/>
      <w:lang w:val="es-CO" w:eastAsia="es-CO"/>
    </w:rPr>
  </w:style>
  <w:style w:type="paragraph" w:styleId="NormalWeb">
    <w:name w:val="Normal (Web)"/>
    <w:basedOn w:val="Normal"/>
    <w:link w:val="NormalWebCar"/>
    <w:uiPriority w:val="99"/>
    <w:unhideWhenUsed/>
    <w:rsid w:val="009433FC"/>
    <w:pPr>
      <w:suppressAutoHyphens/>
      <w:spacing w:after="280"/>
    </w:pPr>
    <w:rPr>
      <w:rFonts w:ascii="Times New Roman" w:hAnsi="Times New Roman"/>
      <w:color w:val="00000A"/>
      <w:lang w:val="es-CO" w:eastAsia="es-CO"/>
    </w:rPr>
  </w:style>
  <w:style w:type="character" w:customStyle="1" w:styleId="NormalWebCar">
    <w:name w:val="Normal (Web) Car"/>
    <w:link w:val="NormalWeb"/>
    <w:uiPriority w:val="99"/>
    <w:locked/>
    <w:rsid w:val="009433FC"/>
    <w:rPr>
      <w:color w:val="00000A"/>
      <w:sz w:val="24"/>
      <w:szCs w:val="24"/>
      <w:lang w:val="es-CO" w:eastAsia="es-CO"/>
    </w:rPr>
  </w:style>
  <w:style w:type="paragraph" w:customStyle="1" w:styleId="titulonegrita">
    <w:name w:val="titulonegrita"/>
    <w:basedOn w:val="Normal"/>
    <w:rsid w:val="009433FC"/>
    <w:pPr>
      <w:suppressAutoHyphens/>
      <w:spacing w:after="280"/>
    </w:pPr>
    <w:rPr>
      <w:rFonts w:ascii="Times New Roman" w:hAnsi="Times New Roman"/>
      <w:color w:val="00000A"/>
      <w:lang w:val="es-CO" w:eastAsia="es-CO"/>
    </w:rPr>
  </w:style>
  <w:style w:type="paragraph" w:customStyle="1" w:styleId="textoparrafo">
    <w:name w:val="textoparrafo"/>
    <w:basedOn w:val="Normal"/>
    <w:rsid w:val="009433FC"/>
    <w:pPr>
      <w:suppressAutoHyphens/>
      <w:spacing w:after="280"/>
    </w:pPr>
    <w:rPr>
      <w:rFonts w:ascii="Times New Roman" w:hAnsi="Times New Roman"/>
      <w:color w:val="00000A"/>
      <w:lang w:val="es-CO" w:eastAsia="es-CO"/>
    </w:rPr>
  </w:style>
  <w:style w:type="paragraph" w:customStyle="1" w:styleId="estilo22">
    <w:name w:val="estilo22"/>
    <w:basedOn w:val="Normal"/>
    <w:rsid w:val="009433FC"/>
    <w:pPr>
      <w:suppressAutoHyphens/>
      <w:spacing w:after="280"/>
    </w:pPr>
    <w:rPr>
      <w:rFonts w:ascii="Times New Roman" w:hAnsi="Times New Roman"/>
      <w:color w:val="00000A"/>
      <w:lang w:val="es-CO" w:eastAsia="es-CO"/>
    </w:rPr>
  </w:style>
  <w:style w:type="paragraph" w:customStyle="1" w:styleId="estilo23">
    <w:name w:val="estilo23"/>
    <w:basedOn w:val="Normal"/>
    <w:rsid w:val="009433FC"/>
    <w:pPr>
      <w:suppressAutoHyphens/>
      <w:spacing w:after="280"/>
    </w:pPr>
    <w:rPr>
      <w:rFonts w:ascii="Times New Roman" w:hAnsi="Times New Roman"/>
      <w:color w:val="00000A"/>
      <w:lang w:val="es-CO" w:eastAsia="es-CO"/>
    </w:rPr>
  </w:style>
  <w:style w:type="paragraph" w:customStyle="1" w:styleId="Sombreadomedio1-nfasis11">
    <w:name w:val="Sombreado medio 1 - Énfasis 11"/>
    <w:uiPriority w:val="1"/>
    <w:qFormat/>
    <w:rsid w:val="009433FC"/>
    <w:pPr>
      <w:suppressAutoHyphens/>
    </w:pPr>
    <w:rPr>
      <w:rFonts w:ascii="Calibri" w:eastAsia="Calibri" w:hAnsi="Calibri"/>
      <w:color w:val="00000A"/>
      <w:sz w:val="22"/>
      <w:szCs w:val="22"/>
      <w:lang w:eastAsia="en-US"/>
    </w:rPr>
  </w:style>
  <w:style w:type="paragraph" w:customStyle="1" w:styleId="Notaalpie">
    <w:name w:val="Nota al pie"/>
    <w:basedOn w:val="Normal"/>
    <w:rsid w:val="009433FC"/>
    <w:pPr>
      <w:suppressAutoHyphens/>
    </w:pPr>
  </w:style>
  <w:style w:type="character" w:customStyle="1" w:styleId="TextonotaalfinalCar1">
    <w:name w:val="Texto nota al final Car1"/>
    <w:basedOn w:val="Fuentedeprrafopredeter"/>
    <w:uiPriority w:val="99"/>
    <w:semiHidden/>
    <w:rsid w:val="009433FC"/>
    <w:rPr>
      <w:rFonts w:ascii="Arial" w:hAnsi="Arial"/>
      <w:color w:val="000000"/>
    </w:rPr>
  </w:style>
  <w:style w:type="paragraph" w:customStyle="1" w:styleId="subtit">
    <w:name w:val="subtit"/>
    <w:basedOn w:val="Normal"/>
    <w:rsid w:val="009433FC"/>
    <w:pPr>
      <w:suppressAutoHyphens/>
      <w:spacing w:after="280"/>
    </w:pPr>
    <w:rPr>
      <w:rFonts w:ascii="Times New Roman" w:hAnsi="Times New Roman"/>
      <w:color w:val="00000A"/>
      <w:lang w:val="es-CO" w:eastAsia="es-CO"/>
    </w:rPr>
  </w:style>
  <w:style w:type="paragraph" w:customStyle="1" w:styleId="parrafo">
    <w:name w:val="parrafo"/>
    <w:basedOn w:val="Normal"/>
    <w:rsid w:val="009433FC"/>
    <w:pPr>
      <w:suppressAutoHyphens/>
      <w:spacing w:after="280"/>
    </w:pPr>
    <w:rPr>
      <w:rFonts w:ascii="Times New Roman" w:hAnsi="Times New Roman"/>
      <w:color w:val="00000A"/>
      <w:lang w:val="es-CO" w:eastAsia="es-CO"/>
    </w:rPr>
  </w:style>
  <w:style w:type="paragraph" w:styleId="Cita">
    <w:name w:val="Quote"/>
    <w:basedOn w:val="Normal"/>
    <w:link w:val="CitaCar"/>
    <w:rsid w:val="009433FC"/>
    <w:pPr>
      <w:suppressAutoHyphens/>
    </w:pPr>
  </w:style>
  <w:style w:type="character" w:customStyle="1" w:styleId="CitaCar">
    <w:name w:val="Cita Car"/>
    <w:basedOn w:val="Fuentedeprrafopredeter"/>
    <w:link w:val="Cita"/>
    <w:rsid w:val="009433FC"/>
    <w:rPr>
      <w:rFonts w:ascii="Arial" w:hAnsi="Arial"/>
      <w:color w:val="000000"/>
      <w:sz w:val="24"/>
    </w:rPr>
  </w:style>
  <w:style w:type="paragraph" w:customStyle="1" w:styleId="Ttulo10">
    <w:name w:val="Título1"/>
    <w:basedOn w:val="Encabezado"/>
    <w:rsid w:val="009433FC"/>
    <w:pPr>
      <w:keepNext/>
      <w:tabs>
        <w:tab w:val="clear" w:pos="4252"/>
        <w:tab w:val="clear" w:pos="8504"/>
      </w:tabs>
      <w:suppressAutoHyphens/>
      <w:spacing w:before="240" w:after="120"/>
    </w:pPr>
    <w:rPr>
      <w:sz w:val="20"/>
      <w:lang w:val="es-CO" w:eastAsia="es-CO"/>
    </w:rPr>
  </w:style>
  <w:style w:type="paragraph" w:styleId="Subttulo">
    <w:name w:val="Subtitle"/>
    <w:basedOn w:val="Normal"/>
    <w:next w:val="Normal"/>
    <w:link w:val="SubttuloCar"/>
    <w:uiPriority w:val="11"/>
    <w:qFormat/>
    <w:pPr>
      <w:keepNext/>
      <w:tabs>
        <w:tab w:val="center" w:pos="4252"/>
        <w:tab w:val="right" w:pos="8504"/>
      </w:tabs>
      <w:spacing w:before="240" w:after="120"/>
    </w:pPr>
    <w:rPr>
      <w:sz w:val="20"/>
      <w:szCs w:val="20"/>
    </w:rPr>
  </w:style>
  <w:style w:type="character" w:customStyle="1" w:styleId="SubttuloCar">
    <w:name w:val="Subtítulo Car"/>
    <w:basedOn w:val="Fuentedeprrafopredeter"/>
    <w:link w:val="Subttulo"/>
    <w:uiPriority w:val="11"/>
    <w:rsid w:val="009433FC"/>
    <w:rPr>
      <w:rFonts w:ascii="Arial" w:hAnsi="Arial"/>
      <w:color w:val="000000"/>
      <w:lang w:val="es-CO" w:eastAsia="es-CO"/>
    </w:rPr>
  </w:style>
  <w:style w:type="character" w:customStyle="1" w:styleId="CharAttribute15">
    <w:name w:val="CharAttribute15"/>
    <w:rsid w:val="009433FC"/>
    <w:rPr>
      <w:rFonts w:ascii="Arial" w:eastAsia="Times New Roman"/>
      <w:sz w:val="24"/>
    </w:rPr>
  </w:style>
  <w:style w:type="paragraph" w:customStyle="1" w:styleId="ParaAttribute16">
    <w:name w:val="ParaAttribute16"/>
    <w:rsid w:val="009433FC"/>
    <w:pPr>
      <w:ind w:hanging="705"/>
      <w:jc w:val="both"/>
    </w:pPr>
    <w:rPr>
      <w:rFonts w:eastAsia="¹Å"/>
      <w:lang w:val="es-CO" w:eastAsia="es-CO"/>
    </w:rPr>
  </w:style>
  <w:style w:type="paragraph" w:customStyle="1" w:styleId="Prrafodelista2">
    <w:name w:val="Párrafo de lista2"/>
    <w:basedOn w:val="Normal"/>
    <w:uiPriority w:val="99"/>
    <w:rsid w:val="009433FC"/>
    <w:pPr>
      <w:ind w:left="708"/>
      <w:jc w:val="both"/>
    </w:pPr>
  </w:style>
  <w:style w:type="paragraph" w:customStyle="1" w:styleId="subt2copiar">
    <w:name w:val="subt2copiar"/>
    <w:basedOn w:val="Normal"/>
    <w:rsid w:val="009433FC"/>
    <w:pPr>
      <w:spacing w:before="100" w:beforeAutospacing="1" w:after="100" w:afterAutospacing="1"/>
    </w:pPr>
    <w:rPr>
      <w:rFonts w:ascii="Times New Roman" w:hAnsi="Times New Roman"/>
      <w:color w:val="auto"/>
      <w:lang w:val="en-US" w:eastAsia="en-US"/>
    </w:rPr>
  </w:style>
  <w:style w:type="paragraph" w:customStyle="1" w:styleId="subt2">
    <w:name w:val="subt2"/>
    <w:basedOn w:val="Normal"/>
    <w:rsid w:val="009433FC"/>
    <w:pPr>
      <w:spacing w:before="100" w:beforeAutospacing="1" w:after="100" w:afterAutospacing="1"/>
    </w:pPr>
    <w:rPr>
      <w:rFonts w:ascii="Times New Roman" w:hAnsi="Times New Roman"/>
      <w:color w:val="auto"/>
      <w:lang w:val="en-US" w:eastAsia="en-US"/>
    </w:rPr>
  </w:style>
  <w:style w:type="paragraph" w:customStyle="1" w:styleId="Default">
    <w:name w:val="Default"/>
    <w:rsid w:val="009433FC"/>
    <w:pPr>
      <w:autoSpaceDE w:val="0"/>
      <w:autoSpaceDN w:val="0"/>
      <w:adjustRightInd w:val="0"/>
    </w:pPr>
    <w:rPr>
      <w:color w:val="000000"/>
      <w:lang w:val="es-CO" w:eastAsia="es-CO"/>
    </w:rPr>
  </w:style>
  <w:style w:type="character" w:customStyle="1" w:styleId="Ttulo1Car2">
    <w:name w:val="Título 1 Car2"/>
    <w:rsid w:val="009433FC"/>
    <w:rPr>
      <w:sz w:val="24"/>
      <w:lang w:val="es-MX" w:eastAsia="es-ES"/>
    </w:rPr>
  </w:style>
  <w:style w:type="character" w:styleId="nfasis">
    <w:name w:val="Emphasis"/>
    <w:uiPriority w:val="20"/>
    <w:qFormat/>
    <w:locked/>
    <w:rsid w:val="009433FC"/>
    <w:rPr>
      <w:i/>
      <w:iCs/>
    </w:rPr>
  </w:style>
  <w:style w:type="character" w:styleId="Hipervnculovisitado">
    <w:name w:val="FollowedHyperlink"/>
    <w:uiPriority w:val="99"/>
    <w:semiHidden/>
    <w:unhideWhenUsed/>
    <w:rsid w:val="009433FC"/>
    <w:rPr>
      <w:color w:val="954F72"/>
      <w:u w:val="single"/>
    </w:rPr>
  </w:style>
  <w:style w:type="paragraph" w:styleId="Asuntodelcomentario">
    <w:name w:val="annotation subject"/>
    <w:basedOn w:val="Textocomentario"/>
    <w:next w:val="Textocomentario"/>
    <w:link w:val="AsuntodelcomentarioCar"/>
    <w:uiPriority w:val="99"/>
    <w:semiHidden/>
    <w:unhideWhenUsed/>
    <w:rsid w:val="009433FC"/>
    <w:pPr>
      <w:suppressAutoHyphens/>
    </w:pPr>
    <w:rPr>
      <w:b/>
      <w:bCs/>
      <w:lang w:val="es-CO" w:eastAsia="es-CO"/>
    </w:rPr>
  </w:style>
  <w:style w:type="character" w:customStyle="1" w:styleId="AsuntodelcomentarioCar">
    <w:name w:val="Asunto del comentario Car"/>
    <w:basedOn w:val="TextocomentarioCar"/>
    <w:link w:val="Asuntodelcomentario"/>
    <w:uiPriority w:val="99"/>
    <w:semiHidden/>
    <w:rsid w:val="009433FC"/>
    <w:rPr>
      <w:rFonts w:ascii="Arial" w:hAnsi="Arial" w:cs="Times New Roman"/>
      <w:b/>
      <w:bCs/>
      <w:color w:val="000000"/>
      <w:sz w:val="20"/>
      <w:szCs w:val="20"/>
      <w:lang w:val="es-CO" w:eastAsia="es-CO"/>
    </w:rPr>
  </w:style>
  <w:style w:type="character" w:customStyle="1" w:styleId="Ttulo2Car1">
    <w:name w:val="Título 2 Car1"/>
    <w:rsid w:val="009433FC"/>
    <w:rPr>
      <w:rFonts w:ascii="Calibri Light" w:hAnsi="Calibri Light"/>
      <w:b/>
      <w:bCs/>
      <w:i/>
      <w:iCs/>
      <w:color w:val="000000"/>
      <w:sz w:val="28"/>
      <w:szCs w:val="28"/>
      <w:lang w:val="es-ES" w:eastAsia="es-ES"/>
    </w:rPr>
  </w:style>
  <w:style w:type="paragraph" w:customStyle="1" w:styleId="Normal1">
    <w:name w:val="Normal1"/>
    <w:rsid w:val="002853FF"/>
    <w:rPr>
      <w:lang w:eastAsia="en-US"/>
    </w:rPr>
  </w:style>
  <w:style w:type="character" w:customStyle="1" w:styleId="Ttulo6Car">
    <w:name w:val="Título 6 Car"/>
    <w:basedOn w:val="Fuentedeprrafopredeter"/>
    <w:link w:val="Ttulo6"/>
    <w:uiPriority w:val="9"/>
    <w:semiHidden/>
    <w:rsid w:val="004D64F2"/>
    <w:rPr>
      <w:rFonts w:ascii="Calibri" w:eastAsia="Calibri" w:hAnsi="Calibri" w:cs="Calibri"/>
      <w:b/>
      <w:lang w:val="es-CO" w:eastAsia="es-CO"/>
    </w:rPr>
  </w:style>
  <w:style w:type="character" w:customStyle="1" w:styleId="TtuloCar">
    <w:name w:val="Título Car"/>
    <w:basedOn w:val="Fuentedeprrafopredeter"/>
    <w:link w:val="Ttulo"/>
    <w:uiPriority w:val="10"/>
    <w:rsid w:val="004D64F2"/>
    <w:rPr>
      <w:rFonts w:ascii="Calibri" w:eastAsia="Calibri" w:hAnsi="Calibri" w:cs="Calibri"/>
      <w:b/>
      <w:sz w:val="72"/>
      <w:szCs w:val="72"/>
      <w:lang w:val="es-CO" w:eastAsia="es-CO"/>
    </w:rPr>
  </w:style>
  <w:style w:type="paragraph" w:customStyle="1" w:styleId="prrafodelista1">
    <w:name w:val="prrafodelista1"/>
    <w:basedOn w:val="Normal"/>
    <w:rsid w:val="004D64F2"/>
    <w:pPr>
      <w:spacing w:before="100" w:beforeAutospacing="1" w:after="100" w:afterAutospacing="1"/>
    </w:pPr>
    <w:rPr>
      <w:rFonts w:ascii="Times New Roman" w:hAnsi="Times New Roman"/>
      <w:color w:val="auto"/>
      <w:lang w:val="es-MX"/>
    </w:rPr>
  </w:style>
  <w:style w:type="paragraph" w:customStyle="1" w:styleId="listparagraph">
    <w:name w:val="listparagraph"/>
    <w:basedOn w:val="Normal"/>
    <w:rsid w:val="004D64F2"/>
    <w:pPr>
      <w:spacing w:before="100" w:beforeAutospacing="1" w:after="100" w:afterAutospacing="1"/>
    </w:pPr>
    <w:rPr>
      <w:rFonts w:ascii="Times New Roman" w:hAnsi="Times New Roman"/>
      <w:color w:val="auto"/>
      <w:lang w:val="es-MX"/>
    </w:rPr>
  </w:style>
  <w:style w:type="paragraph" w:customStyle="1" w:styleId="contenido">
    <w:name w:val="contenido"/>
    <w:basedOn w:val="Normal"/>
    <w:rsid w:val="004D64F2"/>
    <w:pPr>
      <w:spacing w:before="100" w:beforeAutospacing="1" w:after="100" w:afterAutospacing="1"/>
    </w:pPr>
    <w:rPr>
      <w:rFonts w:ascii="Times New Roman" w:hAnsi="Times New Roman"/>
      <w:color w:val="auto"/>
      <w:lang w:val="es-MX"/>
    </w:rPr>
  </w:style>
  <w:style w:type="character" w:customStyle="1" w:styleId="baj">
    <w:name w:val="b_aj"/>
    <w:basedOn w:val="Fuentedeprrafopredeter"/>
    <w:rsid w:val="004D64F2"/>
  </w:style>
  <w:style w:type="paragraph" w:styleId="Bibliografa">
    <w:name w:val="Bibliography"/>
    <w:basedOn w:val="Normal"/>
    <w:next w:val="Normal"/>
    <w:uiPriority w:val="37"/>
    <w:unhideWhenUsed/>
    <w:rsid w:val="004D64F2"/>
    <w:pPr>
      <w:spacing w:after="160" w:line="259" w:lineRule="auto"/>
    </w:pPr>
    <w:rPr>
      <w:rFonts w:ascii="Calibri" w:eastAsia="Calibri" w:hAnsi="Calibri" w:cs="Calibri"/>
      <w:color w:val="auto"/>
      <w:sz w:val="22"/>
      <w:szCs w:val="22"/>
      <w:lang w:val="es-CO" w:eastAsia="es-CO"/>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top w:w="100" w:type="dxa"/>
        <w:left w:w="100" w:type="dxa"/>
        <w:bottom w:w="100" w:type="dxa"/>
        <w:right w:w="100" w:type="dxa"/>
      </w:tblCellMar>
    </w:tblPr>
  </w:style>
  <w:style w:type="table" w:customStyle="1" w:styleId="a1">
    <w:basedOn w:val="TableNormal2"/>
    <w:tblPr>
      <w:tblStyleRowBandSize w:val="1"/>
      <w:tblStyleColBandSize w:val="1"/>
      <w:tblCellMar>
        <w:left w:w="115" w:type="dxa"/>
        <w:right w:w="115"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top w:w="100" w:type="dxa"/>
        <w:left w:w="115" w:type="dxa"/>
        <w:bottom w:w="100" w:type="dxa"/>
        <w:right w:w="115" w:type="dxa"/>
      </w:tblCellMar>
    </w:tblPr>
  </w:style>
  <w:style w:type="table" w:customStyle="1" w:styleId="a4">
    <w:basedOn w:val="TableNormal1"/>
    <w:tblPr>
      <w:tblStyleRowBandSize w:val="1"/>
      <w:tblStyleColBandSize w:val="1"/>
      <w:tblCellMar>
        <w:top w:w="100" w:type="dxa"/>
        <w:left w:w="100" w:type="dxa"/>
        <w:bottom w:w="100" w:type="dxa"/>
        <w:right w:w="100" w:type="dxa"/>
      </w:tblCellMar>
    </w:tblPr>
  </w:style>
  <w:style w:type="table" w:customStyle="1" w:styleId="a5">
    <w:basedOn w:val="TableNormal1"/>
    <w:tblPr>
      <w:tblStyleRowBandSize w:val="1"/>
      <w:tblStyleColBandSize w:val="1"/>
      <w:tblCellMar>
        <w:top w:w="100" w:type="dxa"/>
        <w:left w:w="100" w:type="dxa"/>
        <w:bottom w:w="100" w:type="dxa"/>
        <w:right w:w="100" w:type="dxa"/>
      </w:tblCellMar>
    </w:tblPr>
  </w:style>
  <w:style w:type="table" w:customStyle="1" w:styleId="a6">
    <w:basedOn w:val="TableNormal1"/>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ambitojuridico.com/noticias/analisis/tic/asi-van-los-proyectos-de-ley-sobre-inteligencia-artificial-en-colombia-en-la"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8" Type="http://schemas.openxmlformats.org/officeDocument/2006/relationships/hyperlink" Target="https://blog.google/intl/es-es/productos/informacion/2022_10_como-detectamos-eliminamos-y/" TargetMode="External"/><Relationship Id="rId3" Type="http://schemas.openxmlformats.org/officeDocument/2006/relationships/hyperlink" Target="https://www.alcaldiabogota.gov.co/sisjur/normas/Norma1.jsp?i=35788&amp;dt=S" TargetMode="External"/><Relationship Id="rId7" Type="http://schemas.openxmlformats.org/officeDocument/2006/relationships/hyperlink" Target="https://www.oecd.org/espanol/noticias/cuarentaydospaisesadoptanlosprincipiosdelaocdesobreinteligenciaartificial.htm" TargetMode="External"/><Relationship Id="rId2" Type="http://schemas.openxmlformats.org/officeDocument/2006/relationships/hyperlink" Target="https://www.alcaldiabogota.gov.co/sisjur/normas/Norma1.jsp?i=117686&amp;dt=S" TargetMode="External"/><Relationship Id="rId1" Type="http://schemas.openxmlformats.org/officeDocument/2006/relationships/hyperlink" Target="https://www.alcaldiabogota.gov.co/sisjur/normas/Norma1.jsp?i=125758" TargetMode="External"/><Relationship Id="rId6" Type="http://schemas.openxmlformats.org/officeDocument/2006/relationships/hyperlink" Target="https://www.alcaldiabogota.gov.co/sisjur/normas/Norma1.jsp?i=102967" TargetMode="External"/><Relationship Id="rId5" Type="http://schemas.openxmlformats.org/officeDocument/2006/relationships/hyperlink" Target="https://sisjur.bogotajuridica.gov.co/sisjur/normas/Norma1.jsp?i=155699" TargetMode="External"/><Relationship Id="rId4" Type="http://schemas.openxmlformats.org/officeDocument/2006/relationships/hyperlink" Target="https://www.alcaldiabogota.gov.co/sisjur/normas/Norma1.jsp?i=152535&amp;dt=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8anKnZbY6gMFv5pfsDwyxN8ngJw==">CgMxLjAaHwoBMBIaChgICVIUChJ0YWJsZS4xM251dWhnOGc5NHMyDmgucm8xNXY0MnhnNGJsMg5oLmhqdHphbWZheDIydTgAciExbjNLYUZkVG4zTFBKblc2bjQ4RUE1Y1lEUjJPQUk0RDA=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6425</Words>
  <Characters>35341</Characters>
  <Application>Microsoft Office Word</Application>
  <DocSecurity>0</DocSecurity>
  <Lines>294</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ANA YOLANDA DURAN RODRIGUEZ</cp:lastModifiedBy>
  <cp:revision>2</cp:revision>
  <dcterms:created xsi:type="dcterms:W3CDTF">2025-05-03T16:31:00Z</dcterms:created>
  <dcterms:modified xsi:type="dcterms:W3CDTF">2025-05-03T16:31:00Z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283675389</vt:i4>
  </property>
</Properties>
</file>